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media/rId68.jpg" ContentType="image/jpeg"/>
  <Override PartName="/word/media/rId61.jpg" ContentType="image/jpeg"/>
  <Override PartName="/word/media/rId49.jpg" ContentType="image/jpeg"/>
  <Override PartName="/word/media/rId57.jpg" ContentType="image/jpeg"/>
  <Override PartName="/word/media/rId53.jpg" ContentType="image/jpeg"/>
  <Override PartName="/word/media/rId23.svg" ContentType="image/svg+xml"/>
  <Override PartName="/word/media/rId2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 </w:t>
      </w:r>
    </w:p>
    <w:p>
      <w:pPr>
        <w:pStyle w:val="BodyText"/>
      </w:pPr>
      <w:r>
        <w:t xml:space="preserve"> </w:t>
      </w:r>
    </w:p>
    <w:bookmarkStart w:id="22" w:name="title"/>
    <w:p>
      <w:pPr>
        <w:pStyle w:val="Heading1"/>
      </w:pPr>
      <w:r>
        <w:t xml:space="preserve">Well being statistics</w:t>
      </w:r>
    </w:p>
    <w:p>
      <w:pPr>
        <w:pStyle w:val="Author"/>
      </w:pPr>
      <w:r>
        <w:t xml:space="preserve"> </w:t>
      </w:r>
    </w:p>
    <w:p>
      <w:pPr>
        <w:pStyle w:val="Author"/>
      </w:pPr>
      <w:r>
        <w:t xml:space="preserve">Josef Mana</w:t>
      </w:r>
    </w:p>
    <w:p>
      <w:pPr>
        <w:pStyle w:val="Author"/>
      </w:pPr>
      <w:r>
        <w:t xml:space="preserve">Department of Cognitive Psychology, Institute of Psychology, Czech Academy of Sciences</w:t>
      </w:r>
    </w:p>
    <w:p>
      <w:pPr>
        <w:pStyle w:val="BodyText"/>
      </w:pPr>
      <w:r>
        <w:t xml:space="preserve"> </w:t>
      </w:r>
    </w:p>
    <w:p>
      <w:pPr>
        <w:pStyle w:val="BodyText"/>
      </w:pPr>
      <w:r>
        <w:t xml:space="preserve"> </w:t>
      </w:r>
    </w:p>
    <w:bookmarkEnd w:id="22"/>
    <w:bookmarkStart w:id="29" w:name="author-note"/>
    <w:p>
      <w:pPr>
        <w:pStyle w:val="Heading1"/>
      </w:pPr>
      <w:r>
        <w:t xml:space="preserve">Author Note</w:t>
      </w:r>
    </w:p>
    <w:p>
      <w:pPr>
        <w:pStyle w:val="FirstParagraph"/>
      </w:pPr>
      <w:r>
        <w:t xml:space="preserve">Josef Mana</w:t>
      </w:r>
      <w:r>
        <w:t xml:space="preserve"> </w:t>
      </w:r>
      <w:bookmarkStart w:id="27" w:name="orcid"/>
      <w:r>
        <w:drawing>
          <wp:inline>
            <wp:extent cx="152279" cy="152279"/>
            <wp:effectExtent b="0" l="0" r="0" t="0"/>
            <wp:docPr descr="Orcid ID Logo: A green circle with white letters ID" title="" id="24" name="Picture"/>
            <a:graphic>
              <a:graphicData uri="http://schemas.openxmlformats.org/drawingml/2006/picture">
                <pic:pic>
                  <pic:nvPicPr>
                    <pic:cNvPr descr="_extensions/wjschne/apaquarto/ORCID-iD_icon-vector.svg" id="25" name="Picture"/>
                    <pic:cNvPicPr>
                      <a:picLocks noChangeArrowheads="1" noChangeAspect="1"/>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279" cy="152279"/>
                    </a:xfrm>
                    <a:prstGeom prst="rect">
                      <a:avLst/>
                    </a:prstGeom>
                    <a:noFill/>
                    <a:ln w="9525">
                      <a:noFill/>
                      <a:headEnd/>
                      <a:tailEnd/>
                    </a:ln>
                  </pic:spPr>
                </pic:pic>
              </a:graphicData>
            </a:graphic>
          </wp:inline>
        </w:drawing>
      </w:r>
      <w:bookmarkEnd w:id="27"/>
      <w:r>
        <w:t xml:space="preserve"> </w:t>
      </w:r>
      <w:hyperlink r:id="rId28">
        <w:r>
          <w:rPr>
            <w:rStyle w:val="Hyperlink"/>
          </w:rPr>
          <w:t xml:space="preserve">https://orcid.org/0000-0002-7817-3978</w:t>
        </w:r>
      </w:hyperlink>
    </w:p>
    <w:p>
      <w:pPr>
        <w:pStyle w:val="BodyText"/>
      </w:pPr>
      <w:r>
        <w:t xml:space="preserve">Correspondence concerning this article should be addressed to Josef Mana, Department of Cognitive Psychology, Institute of Psychology, Czech Academy of Sciences, Pod Vodárenskou věží 4, Prague 18200, Czech Republic</w:t>
      </w:r>
    </w:p>
    <w:p>
      <w:r>
        <w:br w:type="page"/>
      </w:r>
    </w:p>
    <w:bookmarkEnd w:id="29"/>
    <w:bookmarkStart w:id="30" w:name="firstheader"/>
    <w:p>
      <w:pPr>
        <w:pStyle w:val="Heading1"/>
      </w:pPr>
      <w:r>
        <w:t xml:space="preserve">Well being statistics</w:t>
      </w:r>
    </w:p>
    <w:bookmarkEnd w:id="30"/>
    <w:bookmarkStart w:id="33" w:name="methods"/>
    <w:p>
      <w:pPr>
        <w:pStyle w:val="Heading1"/>
      </w:pPr>
      <w:r>
        <w:t xml:space="preserve">Methods</w:t>
      </w:r>
    </w:p>
    <w:bookmarkStart w:id="32" w:name="statistical-analyses"/>
    <w:p>
      <w:pPr>
        <w:pStyle w:val="Heading2"/>
      </w:pPr>
      <w:r>
        <w:t xml:space="preserve">Statistical analyses</w:t>
      </w:r>
    </w:p>
    <w:p>
      <w:pPr>
        <w:pStyle w:val="FirstParagraph"/>
      </w:pPr>
      <w:r>
        <w:t xml:space="preserve">All demographic and outcome variables were described via contingency tables for nominal (gender and education level), and ordinal (single item responses) variables and via sample mean ± standard deviation for continuous variables (age, years of teaching experience and questionnaires’ sum scores). All descriptive statistics were computed separately for each city size. Furthermore, null distributions of nominal and ordinal variables across city sizes were tested via Pearson’s</w:t>
      </w:r>
      <w:r>
        <w:t xml:space="preserve"> </w:t>
      </w:r>
      <m:oMath>
        <m:sSup>
          <m:e>
            <m:r>
              <m:t>χ</m:t>
            </m:r>
          </m:e>
          <m:sup>
            <m:r>
              <m:t>2</m:t>
            </m:r>
          </m:sup>
        </m:sSup>
      </m:oMath>
      <w:r>
        <w:t xml:space="preserve"> </w:t>
      </w:r>
      <w:r>
        <w:t xml:space="preserve">test of the null hypothesis that the joint distribution of the cell counts is the product of the row and column marginals. The null hypotheses of zero difference between means of continuous variables across city sizes as well as across education levels were tested via one-way ANOVAs with Type I sum of squares. The null hypotheses of zero difference between means of continuous variables in men and women were tested via two sample t-test with Welch approximation of degrees of freedom and two-sided alternative hypothesis. Age was kept continuous rather than binned; its association with each psychological outcome was therefore quantified by Pearson’s correlation coefficient and by the slope of a simple linear regression of the outcome on age, each with its 95% CI.</w:t>
      </w:r>
    </w:p>
    <w:p>
      <w:pPr>
        <w:pStyle w:val="BodyText"/>
      </w:pPr>
      <w:r>
        <w:t xml:space="preserve">To establish internal consistency of methods used, Cronbach’s coefficient</w:t>
      </w:r>
      <w:r>
        <w:t xml:space="preserve"> </w:t>
      </w:r>
      <m:oMath>
        <m:r>
          <m:t>α</m:t>
        </m:r>
      </m:oMath>
      <w:r>
        <w:t xml:space="preserve"> </w:t>
      </w:r>
      <w:r>
        <w:t xml:space="preserve">(</w:t>
      </w:r>
      <w:hyperlink w:anchor="ref-cronbach1951">
        <w:r>
          <w:rPr>
            <w:rStyle w:val="Hyperlink"/>
          </w:rPr>
          <w:t xml:space="preserve">Cronbach, 1951</w:t>
        </w:r>
      </w:hyperlink>
      <w:r>
        <w:t xml:space="preserve">)</w:t>
      </w:r>
      <w:r>
        <w:t xml:space="preserve"> </w:t>
      </w:r>
      <w:r>
        <w:t xml:space="preserve">was computed together with its 95% confidence interval (CI) via</w:t>
      </w:r>
      <w:r>
        <w:t xml:space="preserve"> </w:t>
      </w:r>
      <w:r>
        <w:t xml:space="preserve">Feldt et al. (</w:t>
      </w:r>
      <w:hyperlink w:anchor="ref-feldt1987">
        <w:r>
          <w:rPr>
            <w:rStyle w:val="Hyperlink"/>
          </w:rPr>
          <w:t xml:space="preserve">1987</w:t>
        </w:r>
      </w:hyperlink>
      <w:r>
        <w:t xml:space="preserve">)</w:t>
      </w:r>
      <w:r>
        <w:t xml:space="preserve"> </w:t>
      </w:r>
      <w:r>
        <w:t xml:space="preserve">procedure. Methods were considered to show adequate internal consistency if the</w:t>
      </w:r>
      <w:r>
        <w:t xml:space="preserve"> </w:t>
      </w:r>
      <m:oMath>
        <m:r>
          <m:t>α</m:t>
        </m:r>
      </m:oMath>
      <w:r>
        <w:t xml:space="preserve"> </w:t>
      </w:r>
      <w:r>
        <w:t xml:space="preserve">exceeded 0.80.</w:t>
      </w:r>
    </w:p>
    <w:p>
      <w:pPr>
        <w:pStyle w:val="BodyText"/>
      </w:pPr>
      <w:r>
        <w:t xml:space="preserve">Reliability of each scale was characterised further by the standardised Cronbach’s</w:t>
      </w:r>
      <w:r>
        <w:t xml:space="preserve"> </w:t>
      </w:r>
      <m:oMath>
        <m:r>
          <m:t>α</m:t>
        </m:r>
      </m:oMath>
      <w:r>
        <w:t xml:space="preserve">, by Guttman’s</w:t>
      </w:r>
      <w:r>
        <w:t xml:space="preserve"> </w:t>
      </w:r>
      <m:oMath>
        <m:sSub>
          <m:e>
            <m:r>
              <m:t>λ</m:t>
            </m:r>
          </m:e>
          <m:sub>
            <m:r>
              <m:t>6</m:t>
            </m:r>
          </m:sub>
        </m:sSub>
      </m:oMath>
      <w:r>
        <w:t xml:space="preserve">, i.e., the lower bound based on the squared multiple correlations, and by the average inter-item correlation, all computed after reverse-coded items had been rescored. Because all items are ordinal, and because</w:t>
      </w:r>
      <w:r>
        <w:t xml:space="preserve"> </w:t>
      </w:r>
      <m:oMath>
        <m:r>
          <m:t>α</m:t>
        </m:r>
      </m:oMath>
      <w:r>
        <w:t xml:space="preserve"> </w:t>
      </w:r>
      <w:r>
        <w:t xml:space="preserve">additionally assumes tau-equivalence, confirmatory factor analyses (CFA) were fitted with the items treated as ordered categorical, estimated by the diagonally weighted least squares estimator with robust standard errors and a mean- and variance-adjusted test statistic (WLSMV) and with the residuals parametrised, via the lavaan</w:t>
      </w:r>
      <w:r>
        <w:t xml:space="preserve"> </w:t>
      </w:r>
      <w:r>
        <w:t xml:space="preserve">(</w:t>
      </w:r>
      <w:hyperlink w:anchor="ref-rosseel2012">
        <w:r>
          <w:rPr>
            <w:rStyle w:val="Hyperlink"/>
          </w:rPr>
          <w:t xml:space="preserve">Rosseel, 2012</w:t>
        </w:r>
      </w:hyperlink>
      <w:r>
        <w:t xml:space="preserve">)</w:t>
      </w:r>
      <w:r>
        <w:t xml:space="preserve"> </w:t>
      </w:r>
      <w:r>
        <w:t xml:space="preserve">R package. Each questionnaire was fitted both as the unidimensional model implied by using its total sum score and under the factor structure published for that instrument: two subscales, school connectedness and teaching efficacy, for the Teacher Subjective Wellbeing Questionnaire, and nine four-item facets for the Job Satisfaction Survey, the latter fitted as nine correlated factors and as nine factors loading on a single second-order factor. Each subscale was additionally fitted on its own. The two stigma scales are published as unidimensional and were fitted as such. Ordinal omega was computed from the completely standardised solution of each model as</w:t>
      </w:r>
      <w:r>
        <w:t xml:space="preserve"> </w:t>
      </w:r>
      <m:oMath>
        <m:r>
          <m:t>ω</m:t>
        </m:r>
        <m:r>
          <m:rPr>
            <m:sty m:val="p"/>
          </m:rPr>
          <m:t>=</m:t>
        </m:r>
        <m:r>
          <m:rPr>
            <m:sty m:val="p"/>
          </m:rPr>
          <m:t>(</m:t>
        </m:r>
        <m:r>
          <m:rPr>
            <m:sty m:val="p"/>
          </m:rPr>
          <m:t>∑</m:t>
        </m:r>
        <m:r>
          <m:t>λ</m:t>
        </m:r>
        <m:sSup>
          <m:e>
            <m:r>
              <m:rPr>
                <m:sty m:val="p"/>
              </m:rPr>
              <m:t>)</m:t>
            </m:r>
          </m:e>
          <m:sup>
            <m:r>
              <m:t>2</m:t>
            </m:r>
          </m:sup>
        </m:sSup>
        <m:r>
          <m:rPr>
            <m:sty m:val="p"/>
          </m:rPr>
          <m:t>/</m:t>
        </m:r>
        <m:r>
          <m:rPr>
            <m:sty m:val="p"/>
          </m:rPr>
          <m:t>(</m:t>
        </m:r>
        <m:r>
          <m:rPr>
            <m:sty m:val="p"/>
          </m:rPr>
          <m:t>(</m:t>
        </m:r>
        <m:r>
          <m:rPr>
            <m:sty m:val="p"/>
          </m:rPr>
          <m:t>∑</m:t>
        </m:r>
        <m:r>
          <m:t>λ</m:t>
        </m:r>
        <m:sSup>
          <m:e>
            <m:r>
              <m:rPr>
                <m:sty m:val="p"/>
              </m:rPr>
              <m:t>)</m:t>
            </m:r>
          </m:e>
          <m:sup>
            <m:r>
              <m:t>2</m:t>
            </m:r>
          </m:sup>
        </m:sSup>
        <m:r>
          <m:rPr>
            <m:sty m:val="p"/>
          </m:rPr>
          <m:t>+</m:t>
        </m:r>
        <m:r>
          <m:rPr>
            <m:sty m:val="p"/>
          </m:rPr>
          <m:t>∑</m:t>
        </m:r>
        <m:r>
          <m:t>θ</m:t>
        </m:r>
        <m:r>
          <m:rPr>
            <m:sty m:val="p"/>
          </m:rPr>
          <m:t>)</m:t>
        </m:r>
      </m:oMath>
      <w:r>
        <w:t xml:space="preserve">, where</w:t>
      </w:r>
      <w:r>
        <w:t xml:space="preserve"> </w:t>
      </w:r>
      <m:oMath>
        <m:r>
          <m:t>λ</m:t>
        </m:r>
      </m:oMath>
      <w:r>
        <w:t xml:space="preserve"> </w:t>
      </w:r>
      <w:r>
        <w:t xml:space="preserve">are the standardised loadings and</w:t>
      </w:r>
      <w:r>
        <w:t xml:space="preserve"> </w:t>
      </w:r>
      <m:oMath>
        <m:r>
          <m:t>θ</m:t>
        </m:r>
      </m:oMath>
      <w:r>
        <w:t xml:space="preserve"> </w:t>
      </w:r>
      <w:r>
        <w:t xml:space="preserve">the standardised residual variances, and is reported per first-order factor. Model fit was judged by the scaled</w:t>
      </w:r>
      <w:r>
        <w:t xml:space="preserve"> </w:t>
      </w:r>
      <m:oMath>
        <m:sSup>
          <m:e>
            <m:r>
              <m:t>χ</m:t>
            </m:r>
          </m:e>
          <m:sup>
            <m:r>
              <m:t>2</m:t>
            </m:r>
          </m:sup>
        </m:sSup>
      </m:oMath>
      <w:r>
        <w:t xml:space="preserve"> </w:t>
      </w:r>
      <w:r>
        <w:t xml:space="preserve">and by the robust CFI, TLI and RMSEA together with the SRMR.</w:t>
      </w:r>
    </w:p>
    <w:p>
      <w:pPr>
        <w:pStyle w:val="BodyText"/>
      </w:pPr>
      <w:r>
        <w:t xml:space="preserve">Inspired by the model proposed by</w:t>
      </w:r>
      <w:r>
        <w:t xml:space="preserve"> </w:t>
      </w:r>
      <w:r>
        <w:t xml:space="preserve">Vogel et al. (</w:t>
      </w:r>
      <w:hyperlink w:anchor="ref-vogel2007">
        <w:r>
          <w:rPr>
            <w:rStyle w:val="Hyperlink"/>
          </w:rPr>
          <w:t xml:space="preserve">2007</w:t>
        </w:r>
      </w:hyperlink>
      <w:r>
        <w:t xml:space="preserve">)</w:t>
      </w:r>
      <w:r>
        <w:t xml:space="preserve">, we conducted a moderated mediation analysis of the effect of Well being and Job Satisfaction on Self Stigma either directly or via the Social Network Stigma. Specifically, we assumed that Well being and Job Satisfaction are causes of Social Network Stigma perception which in turn is a cause of Self Stigma perception. Moreover, we assume Well being and Job Satisfaction have a direct causal effect on Self Stigma perception and that all these relations are moderated by age and gender. Finally, Well being and Job Satisfaction were assumed to have common unobserved causes. These causal assumptions are depicted in</w:t>
      </w:r>
      <w:r>
        <w:t xml:space="preserve"> </w:t>
      </w:r>
      <w:hyperlink w:anchor="fig-dag">
        <w:r>
          <w:rPr>
            <w:rStyle w:val="Hyperlink"/>
          </w:rPr>
          <w:t xml:space="preserve">Figure 1</w:t>
        </w:r>
      </w:hyperlink>
      <w:r>
        <w:t xml:space="preserve"> </w:t>
      </w:r>
      <w:r>
        <w:t xml:space="preserve">in the form of a directed acyclic graph (DAG). To estimate the direct and indirect effects implied by this DAG, a structural equation model (SEM) following</w:t>
      </w:r>
      <w:r>
        <w:t xml:space="preserve"> </w:t>
      </w:r>
      <w:hyperlink w:anchor="fig-dag">
        <w:r>
          <w:rPr>
            <w:rStyle w:val="Hyperlink"/>
          </w:rPr>
          <w:t xml:space="preserve">Figure 1</w:t>
        </w:r>
      </w:hyperlink>
      <w:r>
        <w:t xml:space="preserve"> </w:t>
      </w:r>
      <w:r>
        <w:t xml:space="preserve">was fitted and evaluated via the lavaan</w:t>
      </w:r>
      <w:r>
        <w:t xml:space="preserve"> </w:t>
      </w:r>
      <w:r>
        <w:t xml:space="preserve">(</w:t>
      </w:r>
      <w:hyperlink w:anchor="ref-rosseel2012">
        <w:r>
          <w:rPr>
            <w:rStyle w:val="Hyperlink"/>
          </w:rPr>
          <w:t xml:space="preserve">Rosseel, 2012</w:t>
        </w:r>
      </w:hyperlink>
      <w:r>
        <w:t xml:space="preserve">)</w:t>
      </w:r>
      <w:r>
        <w:t xml:space="preserve"> </w:t>
      </w:r>
      <w:r>
        <w:t xml:space="preserve">R package. Full model specification is available at</w:t>
      </w:r>
      <w:r>
        <w:t xml:space="preserve"> </w:t>
      </w:r>
      <w:hyperlink r:id="rId31">
        <w:r>
          <w:rPr>
            <w:rStyle w:val="Hyperlink"/>
          </w:rPr>
          <w:t xml:space="preserve">https://github.com/josefmana/StigHelp.git</w:t>
        </w:r>
      </w:hyperlink>
      <w:r>
        <w:t xml:space="preserve">.</w:t>
      </w:r>
    </w:p>
    <w:p>
      <w:pPr>
        <w:pStyle w:val="BodyText"/>
      </w:pPr>
      <w:r>
        <w:t xml:space="preserve">Because the assumption that Well being and Job Satisfaction are causes of the two stigmas is open to dispute, the data were re-analysed under two alternative sets of causal assumptions. In the first alternative (</w:t>
      </w:r>
      <w:hyperlink w:anchor="fig-dag-reverse">
        <w:r>
          <w:rPr>
            <w:rStyle w:val="Hyperlink"/>
          </w:rPr>
          <w:t xml:space="preserve">Figure 2</w:t>
        </w:r>
      </w:hyperlink>
      <w:r>
        <w:t xml:space="preserve">), the direction of these relations is reversed: Social Network Stigma is assumed to be a cause of Self Stigma as well as of Job Satisfaction and Well being, and Self Stigma is assumed to mediate part of the effect of Social Network Stigma on the latter two. In the second alternative (</w:t>
      </w:r>
      <w:hyperlink w:anchor="fig-dag-confounded">
        <w:r>
          <w:rPr>
            <w:rStyle w:val="Hyperlink"/>
          </w:rPr>
          <w:t xml:space="preserve">Figure 3</w:t>
        </w:r>
      </w:hyperlink>
      <w:r>
        <w:t xml:space="preserve">), no causal relation between the stigmas on the one hand and Job Satisfaction and Well being on the other hand is assumed at all, and their association is attributed entirely to unmeasured common causes, represented by residual covariances. Both alternatives retain the core assumption that Social Network Stigma is a cause of Self Stigma, keep age and gender as moderators of all structural paths, and keep the assumption that Job Satisfaction and Well being share unmeasured common causes. Note that under either alternative, Job Satisfaction and Well being no longer lie on a causal path between the two stigmas, so they are not adjusted for when the effect of Social Network Stigma on Self Stigma is estimated.</w:t>
      </w:r>
    </w:p>
    <w:p>
      <w:pPr>
        <w:pStyle w:val="BodyText"/>
      </w:pPr>
      <w:r>
        <w:t xml:space="preserve">The structural cores of the three models, i.e., the models with the moderators left out, are all just-identified over the same four variables. They are therefore observationally equivalent. In other words, they imply exactly the same model-implied covariance matrix and consequently the same log-likelihood and the same information criteria (</w:t>
      </w:r>
      <w:hyperlink w:anchor="tbl-modcomp">
        <w:r>
          <w:rPr>
            <w:rStyle w:val="Hyperlink"/>
          </w:rPr>
          <w:t xml:space="preserve">Table 6</w:t>
        </w:r>
      </w:hyperlink>
      <w:r>
        <w:t xml:space="preserve">). These data cannot decide between the three sets of causal assumptions and the two alternatives are accordingly reported as a sensitivity analysis of the primary model.</w:t>
      </w:r>
    </w:p>
    <w:p>
      <w:pPr>
        <w:pStyle w:val="BodyText"/>
      </w:pPr>
      <w:r>
        <w:t xml:space="preserve">Finally, correlation structure of questionnaires on levels of sum scores and single items was explored. For item-level analysis, all reverse-coded items were rescored such that higher scores of all items within a questionnaire implied higher level of construct being measured, and then pairwise correlation of all item pairs across all questionnaires were estimated via polychoric correlation coefficient</w:t>
      </w:r>
      <w:r>
        <w:t xml:space="preserve"> </w:t>
      </w:r>
      <w:r>
        <w:t xml:space="preserve">(</w:t>
      </w:r>
      <w:hyperlink w:anchor="ref-olsson1979">
        <w:r>
          <w:rPr>
            <w:rStyle w:val="Hyperlink"/>
          </w:rPr>
          <w:t xml:space="preserve">Olsson, 1979</w:t>
        </w:r>
      </w:hyperlink>
      <w:r>
        <w:t xml:space="preserve">)</w:t>
      </w:r>
      <w:r>
        <w:t xml:space="preserve">. Sum scores’ correlations were estimated via Pearson’s correlation coefficient and null hypotheses of</w:t>
      </w:r>
      <w:r>
        <w:t xml:space="preserve"> </w:t>
      </w:r>
      <w:r>
        <w:rPr>
          <w:i/>
          <w:iCs/>
        </w:rPr>
        <w:t xml:space="preserve">r</w:t>
      </w:r>
      <w:r>
        <w:t xml:space="preserve"> </w:t>
      </w:r>
      <w:r>
        <w:t xml:space="preserve">= 0 were tested via t-test based on formula</w:t>
      </w:r>
    </w:p>
    <w:p>
      <w:pPr>
        <w:pStyle w:val="BodyText"/>
      </w:pPr>
      <m:oMath>
        <m:r>
          <m:t>t</m:t>
        </m:r>
        <m:r>
          <m:rPr>
            <m:sty m:val="p"/>
          </m:rPr>
          <m:t>=</m:t>
        </m:r>
        <m:f>
          <m:fPr>
            <m:type m:val="bar"/>
          </m:fPr>
          <m:num>
            <m:r>
              <m:t>r</m:t>
            </m:r>
            <m:rad>
              <m:radPr>
                <m:degHide m:val="on"/>
              </m:radPr>
              <m:deg/>
              <m:e>
                <m:r>
                  <m:t>(</m:t>
                </m:r>
              </m:e>
            </m:rad>
            <m:r>
              <m:t>n</m:t>
            </m:r>
            <m:r>
              <m:rPr>
                <m:sty m:val="p"/>
              </m:rPr>
              <m:t>−</m:t>
            </m:r>
            <m:r>
              <m:t>2</m:t>
            </m:r>
            <m:r>
              <m:rPr>
                <m:sty m:val="p"/>
              </m:rPr>
              <m:t>)</m:t>
            </m:r>
          </m:num>
          <m:den>
            <m:rad>
              <m:radPr>
                <m:degHide m:val="on"/>
              </m:radPr>
              <m:deg/>
              <m:e>
                <m:r>
                  <m:t>(</m:t>
                </m:r>
              </m:e>
            </m:rad>
            <m:r>
              <m:t>1</m:t>
            </m:r>
            <m:r>
              <m:rPr>
                <m:sty m:val="p"/>
              </m:rPr>
              <m:t>−</m:t>
            </m:r>
            <m:sSup>
              <m:e>
                <m:r>
                  <m:t>r</m:t>
                </m:r>
              </m:e>
              <m:sup>
                <m:r>
                  <m:t>2</m:t>
                </m:r>
              </m:sup>
            </m:sSup>
            <m:r>
              <m:rPr>
                <m:sty m:val="p"/>
              </m:rPr>
              <m:t>)</m:t>
            </m:r>
          </m:den>
        </m:f>
      </m:oMath>
      <w:r>
        <w:t xml:space="preserve">​</w:t>
      </w:r>
    </w:p>
    <w:p>
      <w:pPr>
        <w:pStyle w:val="BodyText"/>
      </w:pPr>
      <w:r>
        <w:t xml:space="preserve">with standard error:</w:t>
      </w:r>
    </w:p>
    <w:p>
      <w:pPr>
        <w:pStyle w:val="BodyText"/>
      </w:pPr>
      <m:oMath>
        <m:r>
          <m:t>s</m:t>
        </m:r>
        <m:r>
          <m:t>e</m:t>
        </m:r>
        <m:r>
          <m:rPr>
            <m:sty m:val="p"/>
          </m:rPr>
          <m:t>=</m:t>
        </m:r>
        <m:rad>
          <m:radPr>
            <m:degHide m:val="on"/>
          </m:radPr>
          <m:deg/>
          <m:e>
            <m:r>
              <m:t>(</m:t>
            </m:r>
          </m:e>
        </m:rad>
        <m:f>
          <m:fPr>
            <m:type m:val="bar"/>
          </m:fPr>
          <m:num>
            <m:r>
              <m:t>1</m:t>
            </m:r>
            <m:r>
              <m:rPr>
                <m:sty m:val="p"/>
              </m:rPr>
              <m:t>−</m:t>
            </m:r>
            <m:sSup>
              <m:e>
                <m:r>
                  <m:t>r</m:t>
                </m:r>
              </m:e>
              <m:sup>
                <m:r>
                  <m:t>2</m:t>
                </m:r>
              </m:sup>
            </m:sSup>
          </m:num>
          <m:den>
            <m:r>
              <m:t>n</m:t>
            </m:r>
            <m:r>
              <m:rPr>
                <m:sty m:val="p"/>
              </m:rPr>
              <m:t>−</m:t>
            </m:r>
            <m:r>
              <m:t>2</m:t>
            </m:r>
          </m:den>
        </m:f>
        <m:r>
          <m:rPr>
            <m:sty m:val="p"/>
          </m:rPr>
          <m:t>)</m:t>
        </m:r>
      </m:oMath>
      <w:r>
        <w:t xml:space="preserve">,</w:t>
      </w:r>
    </w:p>
    <w:p>
      <w:pPr>
        <w:pStyle w:val="BodyText"/>
      </w:pPr>
      <w:r>
        <w:t xml:space="preserve">where</w:t>
      </w:r>
      <w:r>
        <w:t xml:space="preserve"> </w:t>
      </w:r>
      <w:r>
        <w:rPr>
          <w:i/>
          <w:iCs/>
        </w:rPr>
        <w:t xml:space="preserve">r</w:t>
      </w:r>
      <w:r>
        <w:t xml:space="preserve"> </w:t>
      </w:r>
      <w:r>
        <w:t xml:space="preserve">= Pearson’s correlation coefficient and</w:t>
      </w:r>
      <w:r>
        <w:t xml:space="preserve"> </w:t>
      </w:r>
      <w:r>
        <w:rPr>
          <w:i/>
          <w:iCs/>
        </w:rPr>
        <w:t xml:space="preserve">n</w:t>
      </w:r>
      <w:r>
        <w:t xml:space="preserve"> </w:t>
      </w:r>
      <w:r>
        <w:t xml:space="preserve">= sample size.</w:t>
      </w:r>
    </w:p>
    <w:p>
      <w:pPr>
        <w:pStyle w:val="BodyText"/>
      </w:pPr>
      <w:r>
        <w:t xml:space="preserve">Across analyses, missing values were addressed via complete cases analysis and tests with p &lt; .05 were considered</w:t>
      </w:r>
      <w:r>
        <w:t xml:space="preserve"> </w:t>
      </w:r>
      <w:r>
        <w:t xml:space="preserve">“statically significant.”</w:t>
      </w:r>
      <w:r>
        <w:t xml:space="preserve"> </w:t>
      </w:r>
      <w:r>
        <w:t xml:space="preserve">Analyses were conducted in language for statistical computing R (version 4.6.1) via</w:t>
      </w:r>
      <w:r>
        <w:t xml:space="preserve"> </w:t>
      </w:r>
      <w:r>
        <w:t xml:space="preserve">“psych”</w:t>
      </w:r>
      <w:r>
        <w:t xml:space="preserve"> </w:t>
      </w:r>
      <w:r>
        <w:t xml:space="preserve">package</w:t>
      </w:r>
      <w:r>
        <w:t xml:space="preserve"> </w:t>
      </w:r>
      <w:r>
        <w:t xml:space="preserve">(</w:t>
      </w:r>
      <w:hyperlink w:anchor="ref-psych">
        <w:r>
          <w:rPr>
            <w:rStyle w:val="Hyperlink"/>
          </w:rPr>
          <w:t xml:space="preserve">Revelle, 2022</w:t>
        </w:r>
      </w:hyperlink>
      <w:r>
        <w:t xml:space="preserve">)</w:t>
      </w:r>
      <w:r>
        <w:t xml:space="preserve">, and correlation matrices were visualised via</w:t>
      </w:r>
      <w:r>
        <w:t xml:space="preserve"> </w:t>
      </w:r>
      <w:r>
        <w:t xml:space="preserve">“corrplot”</w:t>
      </w:r>
      <w:r>
        <w:t xml:space="preserve"> </w:t>
      </w:r>
      <w:r>
        <w:t xml:space="preserve">package</w:t>
      </w:r>
      <w:r>
        <w:t xml:space="preserve"> </w:t>
      </w:r>
      <w:r>
        <w:t xml:space="preserve">(</w:t>
      </w:r>
      <w:hyperlink w:anchor="ref-corrplot">
        <w:r>
          <w:rPr>
            <w:rStyle w:val="Hyperlink"/>
          </w:rPr>
          <w:t xml:space="preserve">Wei &amp; Simko, 2021</w:t>
        </w:r>
      </w:hyperlink>
      <w:r>
        <w:t xml:space="preserve">)</w:t>
      </w:r>
      <w:r>
        <w:t xml:space="preserve">.</w:t>
      </w:r>
    </w:p>
    <w:bookmarkEnd w:id="32"/>
    <w:bookmarkEnd w:id="33"/>
    <w:bookmarkStart w:id="66" w:name="results"/>
    <w:p>
      <w:pPr>
        <w:pStyle w:val="Heading1"/>
      </w:pPr>
      <w:r>
        <w:t xml:space="preserve">Results</w:t>
      </w:r>
    </w:p>
    <w:bookmarkStart w:id="34" w:name="sample-description"/>
    <w:p>
      <w:pPr>
        <w:pStyle w:val="Heading2"/>
      </w:pPr>
      <w:r>
        <w:t xml:space="preserve">Sample description</w:t>
      </w:r>
    </w:p>
    <w:p>
      <w:pPr>
        <w:pStyle w:val="FirstParagraph"/>
      </w:pPr>
      <w:r>
        <w:t xml:space="preserve">In total, the sample included 438 participants out of which 63 came from a city with less than 3,000 inhabitants, 159 came from a city with 3,000-15,000 inhabitants, 83 came from a city with 15,000-50,000 inhabitants, 40 came from a city with 50,000-100,000 inhabitants, 38 came from a city with 100,000-500,000 inhabitants, and 55 came from a city with more than 500,000 inhabitants. No statistically significant difference in distribution of nominal variables or means of continuous variables between city sizes was observed (</w:t>
      </w:r>
      <w:hyperlink w:anchor="tbl-desc">
        <w:r>
          <w:rPr>
            <w:rStyle w:val="Hyperlink"/>
          </w:rPr>
          <w:t xml:space="preserve">Table 1</w:t>
        </w:r>
      </w:hyperlink>
      <w:r>
        <w:t xml:space="preserve">).</w:t>
      </w:r>
    </w:p>
    <w:p>
      <w:pPr>
        <w:pStyle w:val="BodyText"/>
      </w:pPr>
      <w:r>
        <w:t xml:space="preserve">There were 17 participants with High School, 15 participants with Bachelor’s degree, 388 participants with Master’s degree, and 18 participants with PhD. We did not observe any statistically significant differences in means of psychological outcomes between different education levels (</w:t>
      </w:r>
      <w:hyperlink w:anchor="tbl-edu">
        <w:r>
          <w:rPr>
            <w:rStyle w:val="Hyperlink"/>
          </w:rPr>
          <w:t xml:space="preserve">Table 2</w:t>
        </w:r>
      </w:hyperlink>
      <w:r>
        <w:t xml:space="preserve">).</w:t>
      </w:r>
    </w:p>
    <w:p>
      <w:pPr>
        <w:pStyle w:val="BodyText"/>
      </w:pPr>
      <w:r>
        <w:t xml:space="preserve">There were 353 women, 80 men, and 5 participants who did not report their gender. We observed a statistically significant difference between mean Self Stigma (</w:t>
      </w:r>
      <m:oMath>
        <m:sSub>
          <m:e>
            <m:r>
              <m:t>M</m:t>
            </m:r>
          </m:e>
          <m:sub>
            <m:r>
              <m:t>w</m:t>
            </m:r>
            <m:r>
              <m:t>o</m:t>
            </m:r>
            <m:r>
              <m:t>m</m:t>
            </m:r>
            <m:r>
              <m:t>e</m:t>
            </m:r>
            <m:r>
              <m:t>n</m:t>
            </m:r>
          </m:sub>
        </m:sSub>
      </m:oMath>
      <w:r>
        <w:t xml:space="preserve"> </w:t>
      </w:r>
      <w:r>
        <w:t xml:space="preserve">= 22.25,</w:t>
      </w:r>
      <w:r>
        <w:t xml:space="preserve"> </w:t>
      </w:r>
      <m:oMath>
        <m:sSub>
          <m:e>
            <m:r>
              <m:t>M</m:t>
            </m:r>
          </m:e>
          <m:sub>
            <m:r>
              <m:t>m</m:t>
            </m:r>
            <m:r>
              <m:t>e</m:t>
            </m:r>
            <m:r>
              <m:t>n</m:t>
            </m:r>
          </m:sub>
        </m:sSub>
      </m:oMath>
      <w:r>
        <w:t xml:space="preserve"> </w:t>
      </w:r>
      <w:r>
        <w:t xml:space="preserve">= 25.86, t(131.25) = -4.382, p &lt; .001) and mean Social Network Stigma (</w:t>
      </w:r>
      <m:oMath>
        <m:sSub>
          <m:e>
            <m:r>
              <m:t>M</m:t>
            </m:r>
          </m:e>
          <m:sub>
            <m:r>
              <m:t>w</m:t>
            </m:r>
            <m:r>
              <m:t>o</m:t>
            </m:r>
            <m:r>
              <m:t>m</m:t>
            </m:r>
            <m:r>
              <m:t>e</m:t>
            </m:r>
            <m:r>
              <m:t>n</m:t>
            </m:r>
          </m:sub>
        </m:sSub>
      </m:oMath>
      <w:r>
        <w:t xml:space="preserve"> </w:t>
      </w:r>
      <w:r>
        <w:t xml:space="preserve">= 10.01,</w:t>
      </w:r>
      <w:r>
        <w:t xml:space="preserve"> </w:t>
      </w:r>
      <m:oMath>
        <m:sSub>
          <m:e>
            <m:r>
              <m:t>M</m:t>
            </m:r>
          </m:e>
          <m:sub>
            <m:r>
              <m:t>m</m:t>
            </m:r>
            <m:r>
              <m:t>e</m:t>
            </m:r>
            <m:r>
              <m:t>n</m:t>
            </m:r>
          </m:sub>
        </m:sSub>
      </m:oMath>
      <w:r>
        <w:t xml:space="preserve"> </w:t>
      </w:r>
      <w:r>
        <w:t xml:space="preserve">= 11.31, t(117.94) = -2.766, p = .007). In both cases, men reported higher mean stigmatisation compared to women. We did not observe a significant difference between men and women in either mean Well-being (</w:t>
      </w:r>
      <m:oMath>
        <m:sSub>
          <m:e>
            <m:r>
              <m:t>M</m:t>
            </m:r>
          </m:e>
          <m:sub>
            <m:r>
              <m:t>w</m:t>
            </m:r>
            <m:r>
              <m:t>o</m:t>
            </m:r>
            <m:r>
              <m:t>m</m:t>
            </m:r>
            <m:r>
              <m:t>e</m:t>
            </m:r>
            <m:r>
              <m:t>n</m:t>
            </m:r>
          </m:sub>
        </m:sSub>
      </m:oMath>
      <w:r>
        <w:t xml:space="preserve"> </w:t>
      </w:r>
      <w:r>
        <w:t xml:space="preserve">= 26.03,</w:t>
      </w:r>
      <w:r>
        <w:t xml:space="preserve"> </w:t>
      </w:r>
      <m:oMath>
        <m:sSub>
          <m:e>
            <m:r>
              <m:t>M</m:t>
            </m:r>
          </m:e>
          <m:sub>
            <m:r>
              <m:t>m</m:t>
            </m:r>
            <m:r>
              <m:t>e</m:t>
            </m:r>
            <m:r>
              <m:t>n</m:t>
            </m:r>
          </m:sub>
        </m:sSub>
      </m:oMath>
      <w:r>
        <w:t xml:space="preserve"> </w:t>
      </w:r>
      <w:r>
        <w:t xml:space="preserve">= 26.40, t(126.44) = -0.885, p = .378) or mean Job satisfaction (</w:t>
      </w:r>
      <m:oMath>
        <m:sSub>
          <m:e>
            <m:r>
              <m:t>M</m:t>
            </m:r>
          </m:e>
          <m:sub>
            <m:r>
              <m:t>w</m:t>
            </m:r>
            <m:r>
              <m:t>o</m:t>
            </m:r>
            <m:r>
              <m:t>m</m:t>
            </m:r>
            <m:r>
              <m:t>e</m:t>
            </m:r>
            <m:r>
              <m:t>n</m:t>
            </m:r>
          </m:sub>
        </m:sSub>
      </m:oMath>
      <w:r>
        <w:t xml:space="preserve"> </w:t>
      </w:r>
      <w:r>
        <w:t xml:space="preserve">= 135.84,</w:t>
      </w:r>
      <w:r>
        <w:t xml:space="preserve"> </w:t>
      </w:r>
      <m:oMath>
        <m:sSub>
          <m:e>
            <m:r>
              <m:t>M</m:t>
            </m:r>
          </m:e>
          <m:sub>
            <m:r>
              <m:t>m</m:t>
            </m:r>
            <m:r>
              <m:t>e</m:t>
            </m:r>
            <m:r>
              <m:t>n</m:t>
            </m:r>
          </m:sub>
        </m:sSub>
      </m:oMath>
      <w:r>
        <w:t xml:space="preserve"> </w:t>
      </w:r>
      <w:r>
        <w:t xml:space="preserve">= 134.69, t(110.01) = 0.355, p = .723).</w:t>
      </w:r>
    </w:p>
    <w:bookmarkEnd w:id="34"/>
    <w:bookmarkStart w:id="35" w:name="age"/>
    <w:p>
      <w:pPr>
        <w:pStyle w:val="Heading2"/>
      </w:pPr>
      <w:r>
        <w:t xml:space="preserve">Age</w:t>
      </w:r>
    </w:p>
    <w:p>
      <w:pPr>
        <w:pStyle w:val="FirstParagraph"/>
      </w:pPr>
      <w:r>
        <w:t xml:space="preserve">Associations of the psychological outcomes with age are presented in</w:t>
      </w:r>
      <w:r>
        <w:t xml:space="preserve"> </w:t>
      </w:r>
      <w:hyperlink w:anchor="tbl-age">
        <w:r>
          <w:rPr>
            <w:rStyle w:val="Hyperlink"/>
          </w:rPr>
          <w:t xml:space="preserve">Table 3</w:t>
        </w:r>
      </w:hyperlink>
      <w:r>
        <w:t xml:space="preserve">.</w:t>
      </w:r>
    </w:p>
    <w:bookmarkEnd w:id="35"/>
    <w:bookmarkStart w:id="36" w:name="internal-consistency"/>
    <w:p>
      <w:pPr>
        <w:pStyle w:val="Heading2"/>
      </w:pPr>
      <w:r>
        <w:t xml:space="preserve">Internal consistency</w:t>
      </w:r>
    </w:p>
    <w:p>
      <w:pPr>
        <w:pStyle w:val="FirstParagraph"/>
      </w:pPr>
      <w:r>
        <w:t xml:space="preserve">All scales showed adequate internal consistency in the current sample according to the Cronbach’s</w:t>
      </w:r>
      <w:r>
        <w:t xml:space="preserve"> </w:t>
      </w:r>
      <m:oMath>
        <m:r>
          <m:t>α</m:t>
        </m:r>
      </m:oMath>
      <w:r>
        <w:t xml:space="preserve"> </w:t>
      </w:r>
      <w:r>
        <w:t xml:space="preserve">estimates (</w:t>
      </w:r>
      <m:oMath>
        <m:sSub>
          <m:e>
            <m:r>
              <m:t>α</m:t>
            </m:r>
          </m:e>
          <m:sub>
            <m:r>
              <m:t>D</m:t>
            </m:r>
          </m:sub>
        </m:sSub>
      </m:oMath>
      <w:r>
        <w:t xml:space="preserve"> </w:t>
      </w:r>
      <w:r>
        <w:t xml:space="preserve">= 0.82, 95% CI [0.80,0.85],</w:t>
      </w:r>
      <w:r>
        <w:t xml:space="preserve"> </w:t>
      </w:r>
      <m:oMath>
        <m:sSub>
          <m:e>
            <m:r>
              <m:t>α</m:t>
            </m:r>
          </m:e>
          <m:sub>
            <m:r>
              <m:t>U</m:t>
            </m:r>
          </m:sub>
        </m:sSub>
      </m:oMath>
      <w:r>
        <w:t xml:space="preserve"> </w:t>
      </w:r>
      <w:r>
        <w:t xml:space="preserve">= 0.92, 95% CI [0.91,0.93],</w:t>
      </w:r>
      <w:r>
        <w:t xml:space="preserve"> </w:t>
      </w:r>
      <m:oMath>
        <m:sSub>
          <m:e>
            <m:r>
              <m:t>α</m:t>
            </m:r>
          </m:e>
          <m:sub>
            <m:r>
              <m:t>S</m:t>
            </m:r>
          </m:sub>
        </m:sSub>
      </m:oMath>
      <w:r>
        <w:t xml:space="preserve"> </w:t>
      </w:r>
      <w:r>
        <w:t xml:space="preserve">= 0.89, 95% CI [0.87,0.90],</w:t>
      </w:r>
      <w:r>
        <w:t xml:space="preserve"> </w:t>
      </w:r>
      <m:oMath>
        <m:sSub>
          <m:e>
            <m:r>
              <m:t>α</m:t>
            </m:r>
          </m:e>
          <m:sub>
            <m:r>
              <m:t>K</m:t>
            </m:r>
          </m:sub>
        </m:sSub>
      </m:oMath>
      <w:r>
        <w:t xml:space="preserve"> </w:t>
      </w:r>
      <w:r>
        <w:t xml:space="preserve">= 0.92, 95% CI [0.91,0.93]) for Well being, Job satisfaction, Self-stigma and Social Network Stigma respectively.</w:t>
      </w:r>
    </w:p>
    <w:p>
      <w:pPr>
        <w:pStyle w:val="BodyText"/>
      </w:pPr>
      <w:r>
        <w:t xml:space="preserve">A fuller picture of the reliability of each scale, adding the standardised</w:t>
      </w:r>
      <w:r>
        <w:t xml:space="preserve"> </w:t>
      </w:r>
      <m:oMath>
        <m:r>
          <m:t>α</m:t>
        </m:r>
      </m:oMath>
      <w:r>
        <w:t xml:space="preserve">, Guttman’s</w:t>
      </w:r>
      <w:r>
        <w:t xml:space="preserve"> </w:t>
      </w:r>
      <m:oMath>
        <m:sSub>
          <m:e>
            <m:r>
              <m:t>λ</m:t>
            </m:r>
          </m:e>
          <m:sub>
            <m:r>
              <m:t>6</m:t>
            </m:r>
          </m:sub>
        </m:sSub>
      </m:oMath>
      <w:r>
        <w:t xml:space="preserve">, ordinal</w:t>
      </w:r>
      <w:r>
        <w:t xml:space="preserve"> </w:t>
      </w:r>
      <m:oMath>
        <m:r>
          <m:t>ω</m:t>
        </m:r>
      </m:oMath>
      <w:r>
        <w:t xml:space="preserve">, the average inter-item correlation and the fit of the competing confirmatory models, is presented in</w:t>
      </w:r>
      <w:r>
        <w:t xml:space="preserve"> </w:t>
      </w:r>
      <w:hyperlink w:anchor="tbl-reliability">
        <w:r>
          <w:rPr>
            <w:rStyle w:val="Hyperlink"/>
          </w:rPr>
          <w:t xml:space="preserve">Table 4</w:t>
        </w:r>
      </w:hyperlink>
      <w:r>
        <w:t xml:space="preserve">. The unidimensional model fitted the two stigma scales adequately but fitted neither the Teacher Subjective Wellbeing Questionnaire nor the Job Satisfaction Survey, for both of which the published multidimensional structure fitted substantially better. The two Teacher Subjective Wellbeing Questionnaire subscales correlated only moderately with one another, which qualifies the interpretation of its total sum score as a single dimension. The nine-facet models of the Job Satisfaction Survey improved fit markedly over the unidimensional model but returned an inadmissible solution, indicating that the nine facets are not all separable in this sample.</w:t>
      </w:r>
    </w:p>
    <w:bookmarkEnd w:id="36"/>
    <w:bookmarkStart w:id="37" w:name="moderated-mediation"/>
    <w:p>
      <w:pPr>
        <w:pStyle w:val="Heading2"/>
      </w:pPr>
      <w:r>
        <w:t xml:space="preserve">Moderated mediation</w:t>
      </w:r>
    </w:p>
    <w:p>
      <w:pPr>
        <w:pStyle w:val="FirstParagraph"/>
      </w:pPr>
      <w:r>
        <w:t xml:space="preserve">Effect estimates from the SEM are presented in</w:t>
      </w:r>
      <w:r>
        <w:t xml:space="preserve"> </w:t>
      </w:r>
      <w:hyperlink w:anchor="tbl-sem">
        <w:r>
          <w:rPr>
            <w:rStyle w:val="Hyperlink"/>
          </w:rPr>
          <w:t xml:space="preserve">Table 5</w:t>
        </w:r>
      </w:hyperlink>
      <w:r>
        <w:t xml:space="preserve">. We observed a statistically significant effect of Social Network Stigma on Self Stigma across age groups and genders. The model implies a significant effect of Job Satisfaction and Well being on Social Network Stigma in Women. The estimates of total effect of Job Satisfaction on Self-Stigma were compatible with a null model (i.e., no causal effect). On the other hand, the model implies a statistically significant total effect of Well being on Self-stigma in women, especially in older age groups. This effect was driven primarily by the direct effect instead of the indirect effect via Social Network Stigma.</w:t>
      </w:r>
    </w:p>
    <w:bookmarkEnd w:id="37"/>
    <w:bookmarkStart w:id="38" w:name="alternative-causal-assumptions"/>
    <w:p>
      <w:pPr>
        <w:pStyle w:val="Heading2"/>
      </w:pPr>
      <w:r>
        <w:t xml:space="preserve">Alternative causal assumptions</w:t>
      </w:r>
    </w:p>
    <w:p>
      <w:pPr>
        <w:pStyle w:val="FirstParagraph"/>
      </w:pPr>
      <w:r>
        <w:t xml:space="preserve">As shown in</w:t>
      </w:r>
      <w:r>
        <w:t xml:space="preserve"> </w:t>
      </w:r>
      <w:hyperlink w:anchor="tbl-modcomp">
        <w:r>
          <w:rPr>
            <w:rStyle w:val="Hyperlink"/>
          </w:rPr>
          <w:t xml:space="preserve">Table 6</w:t>
        </w:r>
      </w:hyperlink>
      <w:r>
        <w:t xml:space="preserve">, the structural cores of the primary model and of the two alternatives fit the data identically, so the choice between them cannot be made on statistical grounds.</w:t>
      </w:r>
    </w:p>
    <w:p>
      <w:pPr>
        <w:pStyle w:val="BodyText"/>
      </w:pPr>
      <w:r>
        <w:t xml:space="preserve">Under the first alternative, in which the stigmas are causes of Job Satisfaction and Well being (</w:t>
      </w:r>
      <w:hyperlink w:anchor="fig-dag-reverse">
        <w:r>
          <w:rPr>
            <w:rStyle w:val="Hyperlink"/>
          </w:rPr>
          <w:t xml:space="preserve">Figure 2</w:t>
        </w:r>
      </w:hyperlink>
      <w:r>
        <w:t xml:space="preserve">), effect estimates are presented in</w:t>
      </w:r>
      <w:r>
        <w:t xml:space="preserve"> </w:t>
      </w:r>
      <w:hyperlink w:anchor="tbl-sem-reverse">
        <w:r>
          <w:rPr>
            <w:rStyle w:val="Hyperlink"/>
          </w:rPr>
          <w:t xml:space="preserve">Table 7</w:t>
        </w:r>
      </w:hyperlink>
      <w:r>
        <w:t xml:space="preserve"> </w:t>
      </w:r>
      <w:r>
        <w:t xml:space="preserve">and the residual correlation of the two outcomes in</w:t>
      </w:r>
      <w:r>
        <w:t xml:space="preserve"> </w:t>
      </w:r>
      <w:hyperlink w:anchor="tbl-cor-reverse">
        <w:r>
          <w:rPr>
            <w:rStyle w:val="Hyperlink"/>
          </w:rPr>
          <w:t xml:space="preserve">Table 8</w:t>
        </w:r>
      </w:hyperlink>
      <w:r>
        <w:t xml:space="preserve">.</w:t>
      </w:r>
    </w:p>
    <w:p>
      <w:pPr>
        <w:pStyle w:val="BodyText"/>
      </w:pPr>
      <w:r>
        <w:t xml:space="preserve">Under the second alternative, in which the association between the stigmas and the two outcomes is attributed to unmeasured common causes only (</w:t>
      </w:r>
      <w:hyperlink w:anchor="fig-dag-confounded">
        <w:r>
          <w:rPr>
            <w:rStyle w:val="Hyperlink"/>
          </w:rPr>
          <w:t xml:space="preserve">Figure 3</w:t>
        </w:r>
      </w:hyperlink>
      <w:r>
        <w:t xml:space="preserve">), the single causal effect the model implies is presented in</w:t>
      </w:r>
      <w:r>
        <w:t xml:space="preserve"> </w:t>
      </w:r>
      <w:hyperlink w:anchor="tbl-sem-confounded">
        <w:r>
          <w:rPr>
            <w:rStyle w:val="Hyperlink"/>
          </w:rPr>
          <w:t xml:space="preserve">Table 9</w:t>
        </w:r>
      </w:hyperlink>
      <w:r>
        <w:t xml:space="preserve"> </w:t>
      </w:r>
      <w:r>
        <w:t xml:space="preserve">and the residual correlations standing in for the unmeasured common causes in</w:t>
      </w:r>
      <w:r>
        <w:t xml:space="preserve"> </w:t>
      </w:r>
      <w:hyperlink w:anchor="tbl-cor-confounded">
        <w:r>
          <w:rPr>
            <w:rStyle w:val="Hyperlink"/>
          </w:rPr>
          <w:t xml:space="preserve">Table 10</w:t>
        </w:r>
      </w:hyperlink>
      <w:r>
        <w:t xml:space="preserve">.</w:t>
      </w:r>
    </w:p>
    <w:bookmarkEnd w:id="38"/>
    <w:bookmarkStart w:id="65" w:name="correlation-structure"/>
    <w:p>
      <w:pPr>
        <w:pStyle w:val="Heading2"/>
      </w:pPr>
      <w:r>
        <w:t xml:space="preserve">Correlation structure</w:t>
      </w:r>
    </w:p>
    <w:p>
      <w:pPr>
        <w:pStyle w:val="FirstParagraph"/>
      </w:pPr>
      <w:r>
        <w:t xml:space="preserve">Correlation matrix of sum scores is presented in</w:t>
      </w:r>
      <w:r>
        <w:t xml:space="preserve"> </w:t>
      </w:r>
      <w:hyperlink w:anchor="fig-corsum">
        <w:r>
          <w:rPr>
            <w:rStyle w:val="Hyperlink"/>
          </w:rPr>
          <w:t xml:space="preserve">Figure 4</w:t>
        </w:r>
      </w:hyperlink>
      <w:r>
        <w:t xml:space="preserve"> </w:t>
      </w:r>
      <w:r>
        <w:t xml:space="preserve">(see also</w:t>
      </w:r>
      <w:r>
        <w:t xml:space="preserve"> </w:t>
      </w:r>
      <w:hyperlink w:anchor="tbl-corsum">
        <w:r>
          <w:rPr>
            <w:rStyle w:val="Hyperlink"/>
          </w:rPr>
          <w:t xml:space="preserve">Table A1</w:t>
        </w:r>
      </w:hyperlink>
      <w:r>
        <w:t xml:space="preserve"> </w:t>
      </w:r>
      <w:r>
        <w:t xml:space="preserve">for numeric representation). Both Self-stigma and Stigma due to others correlated statistically significantly with Well-being and Job satisfaction but not with age and years of teaching experience. Interestingly, the correlation seems to be confined to several stigma due to others scale items on the item-level (see</w:t>
      </w:r>
      <w:r>
        <w:t xml:space="preserve"> </w:t>
      </w:r>
      <w:hyperlink w:anchor="fig-corits">
        <w:r>
          <w:rPr>
            <w:rStyle w:val="Hyperlink"/>
          </w:rPr>
          <w:t xml:space="preserve">Figure A1</w:t>
        </w:r>
      </w:hyperlink>
      <w:r>
        <w:t xml:space="preserve">)</w:t>
      </w:r>
    </w:p>
    <w:p>
      <w:r>
        <w:br w:type="page"/>
      </w:r>
    </w:p>
    <w:bookmarkStart w:id="39" w:name="tbl-desc"/>
    <w:p>
      <w:pPr>
        <w:pStyle w:val="FigureTitle"/>
      </w:pPr>
      <w:r>
        <w:t xml:space="preserve">Table 1</w:t>
      </w:r>
    </w:p>
    <w:p>
      <w:pPr>
        <w:pStyle w:val="Caption"/>
      </w:pPr>
      <w:r>
        <w:t xml:space="preserve">Sample description</w:t>
      </w:r>
    </w:p>
    <w:tbl xmlns:w="http://schemas.openxmlformats.org/wordprocessingml/2006/main" xmlns:wp="http://schemas.openxmlformats.org/drawingml/2006/wordprocessingDrawing" xmlns:r="http://schemas.openxmlformats.org/officeDocument/2006/relationships" xmlns:w14="http://schemas.microsoft.com/office/word/2010/wordml">
      <w:tblPr>
        <w:tblCellMar>
          <w:top w:w="0" w:type="dxa"/>
          <w:bottom w:w="0" w:type="dxa"/>
          <w:start w:w="60" w:type="dxa"/>
          <w:end w:w="60" w:type="dxa"/>
        </w:tblCellMar>
        <w:tblW w:type="auto" w:w="0"/>
        <w:tblLook w:firstRow="0" w:lastRow="0" w:firstColumn="0" w:lastColumn="0" w:noHBand="0" w:noVBand="0"/>
        <w:jc w:val="center"/>
      </w:tblPr>
      <w:tr>
        <w:trPr>
          <w:cantSplit/>
          <w:tblHeader/>
        </w:trPr>
        <w:tc>
          <w:tcPr>
            <w:tcBorders>
              <w:top w:val="single" w:sz="16" w:space="0" w:color="D3D3D3"/>
              <w:start w:val="single" w:space="0" w:color="D3D3D3"/>
              <w:end w:val="single" w:space="0" w:color="D3D3D3"/>
            </w:tcBorders>
            <w:vMerge w:val="restart"/>
            <w:vAlign w:val="bottom"/>
            <w:gridSpan w:val="1"/>
          </w:tcPr>
          <w:p>
            <w:pPr>
              <w:spacing w:before="0" w:after="60"/>
              <w:keepNext/>
              <w:jc w:val="start"/>
            </w:pPr>
            <w:r>
              <w:rPr>
                <w:rFonts w:ascii="Calibri" w:hAnsi="Calibri"/>
                <w:sz w:val="20"/>
              </w:rPr>
              <w:t xml:space="default"/>
            </w:r>
          </w:p>
        </w:tc>
        <w:tc>
          <w:tcPr>
            <w:tcBorders>
              <w:top w:val="single" w:sz="16" w:space="0" w:color="D3D3D3"/>
              <w:bottom w:val="single" w:sz="16" w:space="0" w:color="D3D3D3"/>
              <w:start w:val="single" w:space="0" w:color="D3D3D3"/>
            </w:tcBorders>
            <w:gridSpan w:val="6"/>
          </w:tcPr>
          <w:p>
            <w:pPr>
              <w:spacing w:before="0" w:after="60"/>
              <w:keepNext/>
              <w:jc w:val="center"/>
            </w:pPr>
            <w:r>
              <w:rPr>
                <w:rFonts w:ascii="Calibri" w:hAnsi="Calibri"/>
                <w:sz w:val="20"/>
              </w:rPr>
              <w:t xml:space="default">Number of inhabitants</w:t>
            </w:r>
          </w:p>
        </w:tc>
        <w:tc>
          <w:tcPr>
            <w:tcBorders>
              <w:top w:val="single" w:sz="16" w:space="0" w:color="D3D3D3"/>
              <w:end w:val="single" w:space="0" w:color="D3D3D3"/>
            </w:tcBorders>
          </w:tcPr>
          <w:p>
            <w:pPr>
              <w:spacing w:before="0" w:after="60"/>
              <w:keepNext/>
            </w:pPr>
            <w:r>
              <w:rPr>
                <w:rFonts w:ascii="Calibri" w:hAnsi="Calibri"/>
                <w:sz w:val="20"/>
              </w:rPr>
              <w:t xml:space="default"/>
            </w:r>
          </w:p>
        </w:tc>
      </w:tr>
      <w:tr>
        <w:trPr>
          <w:cantSplit/>
          <w:tblHeader/>
        </w:trPr>
        <w:tc>
          <w:tcPr>
            <w:tcBorders>
              <w:bottom w:val="single" w:sz="16" w:space="0" w:color="D3D3D3"/>
              <w:start w:val="single" w:space="0" w:color="D3D3D3"/>
              <w:end w:val="single" w:space="0" w:color="D3D3D3"/>
            </w:tcBorders>
            <w:vMerge w:val="continue"/>
          </w:tcPr>
          <w:p>
            <w:pPr>
              <w:spacing w:before="0" w:after="60"/>
              <w:keepNext/>
            </w:pPr>
            <w:r>
              <w:rPr>
                <w:rFonts w:ascii="Calibri" w:hAnsi="Calibri"/>
                <w:sz w:val="20"/>
              </w:rPr>
              <w:t xml:space="default"/>
            </w:r>
          </w:p>
        </w:tc>
        <w:tc>
          <w:tcPr>
            <w:tcBorders>
              <w:bottom w:val="single" w:sz="16" w:space="0" w:color="D3D3D3"/>
              <w:start w:val="single" w:space="0" w:color="D3D3D3"/>
            </w:tcBorders>
          </w:tcPr>
          <w:p>
            <w:pPr>
              <w:spacing w:before="0" w:after="60"/>
              <w:keepNext/>
              <w:jc w:val="start"/>
            </w:pPr>
            <w:r>
              <w:rPr>
                <w:rFonts w:ascii="Calibri" w:hAnsi="Calibri"/>
                <w:sz w:val="20"/>
              </w:rPr>
              <w:t xml:space="default">&lt; 3,000</w:t>
            </w:r>
          </w:p>
        </w:tc>
        <w:tc>
          <w:tcPr>
            <w:tcBorders>
              <w:bottom w:val="single" w:sz="16" w:space="0" w:color="D3D3D3"/>
            </w:tcBorders>
          </w:tcPr>
          <w:p>
            <w:pPr>
              <w:spacing w:before="0" w:after="60"/>
              <w:keepNext/>
              <w:jc w:val="start"/>
            </w:pPr>
            <w:r>
              <w:rPr>
                <w:rFonts w:ascii="Calibri" w:hAnsi="Calibri"/>
                <w:sz w:val="20"/>
              </w:rPr>
              <w:t xml:space="default">3,000 - 15,000</w:t>
            </w:r>
          </w:p>
        </w:tc>
        <w:tc>
          <w:tcPr>
            <w:tcBorders>
              <w:bottom w:val="single" w:sz="16" w:space="0" w:color="D3D3D3"/>
            </w:tcBorders>
          </w:tcPr>
          <w:p>
            <w:pPr>
              <w:spacing w:before="0" w:after="60"/>
              <w:keepNext/>
              <w:jc w:val="start"/>
            </w:pPr>
            <w:r>
              <w:rPr>
                <w:rFonts w:ascii="Calibri" w:hAnsi="Calibri"/>
                <w:sz w:val="20"/>
              </w:rPr>
              <w:t xml:space="default">15,000 - 50,000</w:t>
            </w:r>
          </w:p>
        </w:tc>
        <w:tc>
          <w:tcPr>
            <w:tcBorders>
              <w:bottom w:val="single" w:sz="16" w:space="0" w:color="D3D3D3"/>
            </w:tcBorders>
          </w:tcPr>
          <w:p>
            <w:pPr>
              <w:spacing w:before="0" w:after="60"/>
              <w:keepNext/>
              <w:jc w:val="start"/>
            </w:pPr>
            <w:r>
              <w:rPr>
                <w:rFonts w:ascii="Calibri" w:hAnsi="Calibri"/>
                <w:sz w:val="20"/>
              </w:rPr>
              <w:t xml:space="default">50,000 - 100,000</w:t>
            </w:r>
          </w:p>
        </w:tc>
        <w:tc>
          <w:tcPr>
            <w:tcBorders>
              <w:bottom w:val="single" w:sz="16" w:space="0" w:color="D3D3D3"/>
            </w:tcBorders>
          </w:tcPr>
          <w:p>
            <w:pPr>
              <w:spacing w:before="0" w:after="60"/>
              <w:keepNext/>
              <w:jc w:val="start"/>
            </w:pPr>
            <w:r>
              <w:rPr>
                <w:rFonts w:ascii="Calibri" w:hAnsi="Calibri"/>
                <w:sz w:val="20"/>
              </w:rPr>
              <w:t xml:space="default">100,000 - 500,000</w:t>
            </w:r>
          </w:p>
        </w:tc>
        <w:tc>
          <w:tcPr>
            <w:tcBorders>
              <w:bottom w:val="single" w:sz="16" w:space="0" w:color="D3D3D3"/>
            </w:tcBorders>
          </w:tcPr>
          <w:p>
            <w:pPr>
              <w:spacing w:before="0" w:after="60"/>
              <w:keepNext/>
              <w:jc w:val="start"/>
            </w:pPr>
            <w:r>
              <w:rPr>
                <w:rFonts w:ascii="Calibri" w:hAnsi="Calibri"/>
                <w:sz w:val="20"/>
              </w:rPr>
              <w:t xml:space="default">&gt; 500,000</w:t>
            </w:r>
          </w:p>
        </w:tc>
        <w:tc>
          <w:tcPr>
            <w:tcBorders>
              <w:bottom w:val="single" w:sz="16" w:space="0" w:color="D3D3D3"/>
              <w:end w:val="single" w:space="0" w:color="D3D3D3"/>
            </w:tcBorders>
          </w:tcPr>
          <w:p>
            <w:pPr>
              <w:spacing w:before="0" w:after="60"/>
              <w:keepNext/>
              <w:jc w:val="start"/>
            </w:pPr>
            <w:r>
              <w:rPr>
                <w:rFonts w:ascii="Calibri" w:hAnsi="Calibri"/>
                <w:sz w:val="20"/>
              </w:rPr>
              <w:t xml:space="preserve">Statistical analysis</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8"/>
          </w:tcPr>
          <w:p>
            <w:pPr>
              <w:spacing w:before="0" w:after="60"/>
              <w:keepNext/>
            </w:pPr>
            <w:r>
              <w:rPr>
                <w:rFonts w:ascii="Calibri" w:hAnsi="Calibri"/>
                <w:sz w:val="20"/>
              </w:rPr>
              <w:t xml:space="default">Demographic variables</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Gender</w:t>
            </w:r>
            <w:r>
              <w:rPr>
                <w:vertAlign w:val="superscript"/>
                <w:i/>
                <w:rFonts w:ascii="Calibri" w:hAnsi="Calibri"/>
                <w:sz w:val="20"/>
              </w:rPr>
              <w:t xml:space="default">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52/11/0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130/27/2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64/18/1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35/4/1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26/11/1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46/9/0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chisq(10) = 8.611, p = .569</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Education level</w:t>
            </w:r>
            <w:r>
              <w:rPr>
                <w:vertAlign w:val="superscript"/>
                <w:i/>
                <w:rFonts w:ascii="Calibri" w:hAnsi="Calibri"/>
                <w:sz w:val="20"/>
              </w:rPr>
              <w:t xml:space="default">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3/2/58/0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2/7/146/4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3/4/71/5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2/1/35/2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2/1/31/4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3/2/47/3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chisq(15) = 13.659, p = .552</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Age (years)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47.62 ± 9.03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47.89 ± 9.83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49.78 ± 10.04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47.42 ± 10.19</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49.08 ± 9.33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48.13 ± 10.29</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F(5,430) = 0.605, p = .696</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Teaching experience (years)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21.17 ± 10.73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21.18 ± 11.10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21.78 ± 12.49</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20.02 ± 11.38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20.87 ± 11.15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17.55 ± 12.19</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F(5,429) = 1.080, p = .371</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8"/>
          </w:tcPr>
          <w:p>
            <w:pPr>
              <w:spacing w:before="0" w:after="60"/>
              <w:keepNext/>
            </w:pPr>
            <w:r>
              <w:rPr>
                <w:rFonts w:ascii="Calibri" w:hAnsi="Calibri"/>
                <w:sz w:val="20"/>
              </w:rPr>
              <w:t xml:space="default">Psychological outcomes</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Well-being (D scale)</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26.43 ± 3.87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25.96 ± 3.48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25.75 ± 3.71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26.02 ± 3.77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26.18 ± 3.65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26.55 ± 3.43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F(5,432) = 0.482, p = .790</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Job satisfaction (U scale)</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136.89 ± 29.76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136.21 ± 23.44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132.85 ± 25.44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138.85 ± 26.81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125.46 ± 28.90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139.20 ± 24.14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F(5,413) = 1.651, p = .145</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Self-stigma (S scale)</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23.49 ± 7.98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23.21 ± 7.06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23.35 ± 7.95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22.38 ± 7.08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21.84 ± 6.86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22.16 ± 7.81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F(5,432) = 0.491, p = .783</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Stigma due to others (K scale)</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10.05 ± 3.73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10.65 ± 4.21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10.06 ± 3.44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9.35 ± 3.79</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10.55 ± 3.18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10.15 ± 3.94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F(5,432) = 0.905, p = .478</w:t>
            </w:r>
          </w:p>
        </w:tc>
      </w:tr>
      <w:tr>
        <w:trPr>
          <w:cantSplit/>
        </w:trPr>
        <w:tc>
          <w:tcPr>
            <w:gridSpan w:val="8"/>
          </w:tcPr>
          <w:p>
            <w:pPr>
              <w:spacing w:before="0" w:after="60"/>
              <w:keepNext/>
            </w:pPr>
            <w:r>
              <w:rPr>
                <w:vertAlign w:val="superscript"/>
                <w:i/>
                <w:rFonts w:ascii="Calibri" w:hAnsi="Calibri"/>
                <w:sz w:val="20"/>
              </w:rPr>
              <w:t xml:space="default">1</w:t>
            </w:r>
            <w:r>
              <w:rPr>
                <w:rFonts w:ascii="Calibri" w:hAnsi="Calibri"/>
                <w:sz w:val="20"/>
              </w:rPr>
              <w:t xml:space="default">presented as women/men/unanswered</w:t>
            </w:r>
          </w:p>
        </w:tc>
      </w:tr>
      <w:tr>
        <w:trPr>
          <w:cantSplit/>
        </w:trPr>
        <w:tc>
          <w:tcPr>
            <w:gridSpan w:val="8"/>
          </w:tcPr>
          <w:p>
            <w:pPr>
              <w:spacing w:before="0" w:after="60"/>
              <w:keepNext/>
            </w:pPr>
            <w:r>
              <w:rPr>
                <w:vertAlign w:val="superscript"/>
                <w:i/>
                <w:rFonts w:ascii="Calibri" w:hAnsi="Calibri"/>
                <w:sz w:val="20"/>
              </w:rPr>
              <w:t xml:space="default">2</w:t>
            </w:r>
            <w:r>
              <w:rPr>
                <w:rFonts w:ascii="Calibri" w:hAnsi="Calibri"/>
                <w:sz w:val="20"/>
              </w:rPr>
              <w:t xml:space="default">presented as High school/Bachelors/Masters/PhD</w:t>
            </w:r>
          </w:p>
        </w:tc>
      </w:tr>
      <w:tr>
        <w:trPr>
          <w:cantSplit/>
        </w:trPr>
        <w:tc>
          <w:tcPr>
            <w:gridSpan w:val="8"/>
          </w:tcPr>
          <w:p>
            <w:pPr>
              <w:spacing w:before="0" w:after="60"/>
              <w:keepNext/>
            </w:pPr>
            <w:r>
              <w:rPr>
                <w:rFonts w:ascii="Calibri" w:hAnsi="Calibri"/>
                <w:sz w:val="20"/>
              </w:rPr>
              <w:t xml:space="default">All continuous variables are reported as sample mean ± standard deviation.</w:t>
            </w:r>
          </w:p>
        </w:tc>
      </w:tr>
    </w:tbl>
    <w:bookmarkEnd w:id="39"/>
    <w:p>
      <w:r>
        <w:br w:type="page"/>
      </w:r>
    </w:p>
    <w:bookmarkStart w:id="40" w:name="tbl-edu"/>
    <w:p>
      <w:pPr>
        <w:pStyle w:val="FigureTitle"/>
      </w:pPr>
      <w:r>
        <w:t xml:space="preserve">Table 2</w:t>
      </w:r>
    </w:p>
    <w:p>
      <w:pPr>
        <w:pStyle w:val="Caption"/>
      </w:pPr>
      <w:r>
        <w:t xml:space="preserve">Psychological outcomes’ means across education level</w:t>
      </w:r>
    </w:p>
    <w:tbl xmlns:w="http://schemas.openxmlformats.org/wordprocessingml/2006/main" xmlns:wp="http://schemas.openxmlformats.org/drawingml/2006/wordprocessingDrawing" xmlns:r="http://schemas.openxmlformats.org/officeDocument/2006/relationships" xmlns:w14="http://schemas.microsoft.com/office/word/2010/wordml">
      <w:tblPr>
        <w:tblCellMar>
          <w:top w:w="0" w:type="dxa"/>
          <w:bottom w:w="0" w:type="dxa"/>
          <w:start w:w="60" w:type="dxa"/>
          <w:end w:w="60" w:type="dxa"/>
        </w:tblCellMar>
        <w:tblW w:type="auto" w:w="0"/>
        <w:tblLook w:firstRow="0" w:lastRow="0" w:firstColumn="0" w:lastColumn="0" w:noHBand="0" w:noVBand="0"/>
        <w:jc w:val="center"/>
      </w:tblPr>
      <w:tr>
        <w:trPr>
          <w:cantSplit/>
          <w:tblHeader/>
        </w:trPr>
        <w:tc>
          <w:tcPr>
            <w:tcBorders>
              <w:top w:val="single" w:sz="16" w:space="0" w:color="D3D3D3"/>
              <w:start w:val="single" w:space="0" w:color="D3D3D3"/>
              <w:end w:val="single" w:space="0" w:color="D3D3D3"/>
            </w:tcBorders>
            <w:vMerge w:val="restart"/>
            <w:vAlign w:val="bottom"/>
            <w:gridSpan w:val="1"/>
          </w:tcPr>
          <w:p>
            <w:pPr>
              <w:spacing w:before="0" w:after="60"/>
              <w:keepNext/>
              <w:jc w:val="start"/>
            </w:pPr>
            <w:r>
              <w:rPr>
                <w:rFonts w:ascii="Calibri" w:hAnsi="Calibri"/>
                <w:sz w:val="20"/>
              </w:rPr>
              <w:t xml:space="default"/>
            </w:r>
          </w:p>
        </w:tc>
        <w:tc>
          <w:tcPr>
            <w:tcBorders>
              <w:top w:val="single" w:sz="16" w:space="0" w:color="D3D3D3"/>
              <w:bottom w:val="single" w:sz="16" w:space="0" w:color="D3D3D3"/>
              <w:start w:val="single" w:space="0" w:color="D3D3D3"/>
            </w:tcBorders>
            <w:gridSpan w:val="4"/>
          </w:tcPr>
          <w:p>
            <w:pPr>
              <w:spacing w:before="0" w:after="60"/>
              <w:keepNext/>
              <w:jc w:val="center"/>
            </w:pPr>
            <w:r>
              <w:rPr>
                <w:rFonts w:ascii="Calibri" w:hAnsi="Calibri"/>
                <w:sz w:val="20"/>
              </w:rPr>
              <w:t xml:space="default">Education level</w:t>
            </w:r>
          </w:p>
        </w:tc>
        <w:tc>
          <w:tcPr>
            <w:tcBorders>
              <w:top w:val="single" w:sz="16" w:space="0" w:color="D3D3D3"/>
              <w:end w:val="single" w:space="0" w:color="D3D3D3"/>
            </w:tcBorders>
          </w:tcPr>
          <w:p>
            <w:pPr>
              <w:spacing w:before="0" w:after="60"/>
              <w:keepNext/>
            </w:pPr>
            <w:r>
              <w:rPr>
                <w:rFonts w:ascii="Calibri" w:hAnsi="Calibri"/>
                <w:sz w:val="20"/>
              </w:rPr>
              <w:t xml:space="default"/>
            </w:r>
          </w:p>
        </w:tc>
      </w:tr>
      <w:tr>
        <w:trPr>
          <w:cantSplit/>
          <w:tblHeader/>
        </w:trPr>
        <w:tc>
          <w:tcPr>
            <w:tcBorders>
              <w:bottom w:val="single" w:sz="16" w:space="0" w:color="D3D3D3"/>
              <w:start w:val="single" w:space="0" w:color="D3D3D3"/>
              <w:end w:val="single" w:space="0" w:color="D3D3D3"/>
            </w:tcBorders>
            <w:vMerge w:val="continue"/>
          </w:tcPr>
          <w:p>
            <w:pPr>
              <w:spacing w:before="0" w:after="60"/>
              <w:keepNext/>
            </w:pPr>
            <w:r>
              <w:rPr>
                <w:rFonts w:ascii="Calibri" w:hAnsi="Calibri"/>
                <w:sz w:val="20"/>
              </w:rPr>
              <w:t xml:space="default"/>
            </w:r>
          </w:p>
        </w:tc>
        <w:tc>
          <w:tcPr>
            <w:tcBorders>
              <w:bottom w:val="single" w:sz="16" w:space="0" w:color="D3D3D3"/>
              <w:start w:val="single" w:space="0" w:color="D3D3D3"/>
            </w:tcBorders>
          </w:tcPr>
          <w:p>
            <w:pPr>
              <w:spacing w:before="0" w:after="60"/>
              <w:keepNext/>
              <w:jc w:val="start"/>
            </w:pPr>
            <w:r>
              <w:rPr>
                <w:rFonts w:ascii="Calibri" w:hAnsi="Calibri"/>
                <w:sz w:val="20"/>
              </w:rPr>
              <w:t xml:space="default">High school</w:t>
            </w:r>
          </w:p>
        </w:tc>
        <w:tc>
          <w:tcPr>
            <w:tcBorders>
              <w:bottom w:val="single" w:sz="16" w:space="0" w:color="D3D3D3"/>
            </w:tcBorders>
          </w:tcPr>
          <w:p>
            <w:pPr>
              <w:spacing w:before="0" w:after="60"/>
              <w:keepNext/>
              <w:jc w:val="start"/>
            </w:pPr>
            <w:r>
              <w:rPr>
                <w:rFonts w:ascii="Calibri" w:hAnsi="Calibri"/>
                <w:sz w:val="20"/>
              </w:rPr>
              <w:t xml:space="default">BA</w:t>
            </w:r>
          </w:p>
        </w:tc>
        <w:tc>
          <w:tcPr>
            <w:tcBorders>
              <w:bottom w:val="single" w:sz="16" w:space="0" w:color="D3D3D3"/>
            </w:tcBorders>
          </w:tcPr>
          <w:p>
            <w:pPr>
              <w:spacing w:before="0" w:after="60"/>
              <w:keepNext/>
              <w:jc w:val="start"/>
            </w:pPr>
            <w:r>
              <w:rPr>
                <w:rFonts w:ascii="Calibri" w:hAnsi="Calibri"/>
                <w:sz w:val="20"/>
              </w:rPr>
              <w:t xml:space="default">MA</w:t>
            </w:r>
          </w:p>
        </w:tc>
        <w:tc>
          <w:tcPr>
            <w:tcBorders>
              <w:bottom w:val="single" w:sz="16" w:space="0" w:color="D3D3D3"/>
            </w:tcBorders>
          </w:tcPr>
          <w:p>
            <w:pPr>
              <w:spacing w:before="0" w:after="60"/>
              <w:keepNext/>
              <w:jc w:val="start"/>
            </w:pPr>
            <w:r>
              <w:rPr>
                <w:rFonts w:ascii="Calibri" w:hAnsi="Calibri"/>
                <w:sz w:val="20"/>
              </w:rPr>
              <w:t xml:space="default">PhD</w:t>
            </w:r>
          </w:p>
        </w:tc>
        <w:tc>
          <w:tcPr>
            <w:tcBorders>
              <w:bottom w:val="single" w:sz="16" w:space="0" w:color="D3D3D3"/>
              <w:end w:val="single" w:space="0" w:color="D3D3D3"/>
            </w:tcBorders>
          </w:tcPr>
          <w:p>
            <w:pPr>
              <w:spacing w:before="0" w:after="60"/>
              <w:keepNext/>
              <w:jc w:val="start"/>
            </w:pPr>
            <w:r>
              <w:rPr>
                <w:rFonts w:ascii="Calibri" w:hAnsi="Calibri"/>
                <w:sz w:val="20"/>
              </w:rPr>
              <w:t xml:space="default">One-way ANOVA</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Well-being (D scale)</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24.24 ± 3.96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26.40 ± 2.90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26.13 ± 3.58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26.56 ± 4.19</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F(3,434) = 1.663, p = .174</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Job satisfaction (U scale)</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137.07 ± 23.77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128.50 ± 22.03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135.91 ± 25.86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128.41 ± 29.37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F(3,415) = 0.817, p = .485</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Self-stigma (S scale)</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22.59 ± 7.58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23.33 ± 8.53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22.97 ± 7.45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22.44 ± 6.46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F(3,434) = 0.056, p = .983</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Stigma due to others (K scale)</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10.12 ± 2.87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10.60 ± 4.85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10.17 ± 3.81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12.00 ± 4.39</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F(3,434) = 1.341, p = .260</w:t>
            </w:r>
          </w:p>
        </w:tc>
      </w:tr>
      <w:tr>
        <w:trPr>
          <w:cantSplit/>
        </w:trPr>
        <w:tc>
          <w:tcPr>
            <w:gridSpan w:val="6"/>
          </w:tcPr>
          <w:p>
            <w:pPr>
              <w:spacing w:before="0" w:after="60"/>
              <w:keepNext/>
            </w:pPr>
            <w:r>
              <w:rPr>
                <w:rFonts w:ascii="Calibri" w:hAnsi="Calibri"/>
                <w:sz w:val="20"/>
              </w:rPr>
              <w:t xml:space="default">BA = Bachelor's degree, MA = Master's degree. All variables are reported as sample mean ± standard deviation</w:t>
            </w:r>
          </w:p>
        </w:tc>
      </w:tr>
    </w:tbl>
    <w:bookmarkEnd w:id="40"/>
    <w:p>
      <w:r>
        <w:br w:type="page"/>
      </w:r>
    </w:p>
    <w:bookmarkStart w:id="41" w:name="tbl-age"/>
    <w:p>
      <w:pPr>
        <w:pStyle w:val="FigureTitle"/>
      </w:pPr>
      <w:r>
        <w:t xml:space="preserve">Table 3</w:t>
      </w:r>
    </w:p>
    <w:p>
      <w:pPr>
        <w:pStyle w:val="Caption"/>
      </w:pPr>
      <w:r>
        <w:t xml:space="preserve">Association of psychological outcomes with age</w:t>
      </w:r>
    </w:p>
    <w:tbl xmlns:w="http://schemas.openxmlformats.org/wordprocessingml/2006/main" xmlns:wp="http://schemas.openxmlformats.org/drawingml/2006/wordprocessingDrawing" xmlns:r="http://schemas.openxmlformats.org/officeDocument/2006/relationships" xmlns:w14="http://schemas.microsoft.com/office/word/2010/wordml">
      <w:tblPr>
        <w:tblCellMar>
          <w:top w:w="0" w:type="dxa"/>
          <w:bottom w:w="0" w:type="dxa"/>
          <w:start w:w="60" w:type="dxa"/>
          <w:end w:w="60" w:type="dxa"/>
        </w:tblCellMar>
        <w:tblW w:type="auto" w:w="0"/>
        <w:tblLook w:firstRow="0" w:lastRow="0" w:firstColumn="0" w:lastColumn="0" w:noHBand="0" w:noVBand="0"/>
        <w:jc w:val="center"/>
      </w:tblPr>
      <w:tr>
        <w:trPr>
          <w:cantSplit/>
          <w:tblHeader/>
        </w:trPr>
        <w:tc>
          <w:tcPr>
            <w:tcBorders>
              <w:top w:val="single" w:sz="16" w:space="0" w:color="D3D3D3"/>
              <w:start w:val="single" w:space="0" w:color="D3D3D3"/>
              <w:end w:val="single" w:space="0" w:color="D3D3D3"/>
            </w:tcBorders>
            <w:vMerge w:val="restart"/>
            <w:vAlign w:val="bottom"/>
            <w:gridSpan w:val="1"/>
          </w:tcPr>
          <w:p>
            <w:pPr>
              <w:spacing w:before="0" w:after="60"/>
              <w:keepNext/>
              <w:jc w:val="start"/>
            </w:pPr>
            <w:r>
              <w:rPr>
                <w:rFonts w:ascii="Calibri" w:hAnsi="Calibri"/>
                <w:sz w:val="20"/>
              </w:rPr>
              <w:t xml:space="default"/>
            </w:r>
          </w:p>
        </w:tc>
        <w:tc>
          <w:tcPr>
            <w:tcBorders>
              <w:top w:val="single" w:sz="16" w:space="0" w:color="D3D3D3"/>
              <w:bottom w:val="single" w:sz="16" w:space="0" w:color="D3D3D3"/>
              <w:start w:val="single" w:space="0" w:color="D3D3D3"/>
            </w:tcBorders>
            <w:gridSpan w:val="2"/>
          </w:tcPr>
          <w:p>
            <w:pPr>
              <w:spacing w:before="0" w:after="60"/>
              <w:keepNext/>
              <w:jc w:val="center"/>
            </w:pPr>
            <w:r>
              <w:rPr>
                <w:rFonts w:ascii="Calibri" w:hAnsi="Calibri"/>
                <w:sz w:val="20"/>
              </w:rPr>
              <w:t xml:space="default">Pearson's correlation</w:t>
            </w:r>
          </w:p>
        </w:tc>
        <w:tc>
          <w:tcPr>
            <w:tcBorders>
              <w:top w:val="single" w:sz="16" w:space="0" w:color="D3D3D3"/>
              <w:bottom w:val="single" w:sz="16" w:space="0" w:color="D3D3D3"/>
              <w:end w:val="single" w:space="0" w:color="D3D3D3"/>
            </w:tcBorders>
            <w:gridSpan w:val="5"/>
          </w:tcPr>
          <w:p>
            <w:pPr>
              <w:spacing w:before="0" w:after="60"/>
              <w:keepNext/>
              <w:jc w:val="center"/>
            </w:pPr>
            <w:r>
              <w:rPr>
                <w:rFonts w:ascii="Calibri" w:hAnsi="Calibri"/>
                <w:sz w:val="20"/>
              </w:rPr>
              <w:t xml:space="default">Linear regression</w:t>
            </w:r>
          </w:p>
        </w:tc>
      </w:tr>
      <w:tr>
        <w:trPr>
          <w:cantSplit/>
          <w:tblHeader/>
        </w:trPr>
        <w:tc>
          <w:tcPr>
            <w:tcBorders>
              <w:bottom w:val="single" w:sz="16" w:space="0" w:color="D3D3D3"/>
              <w:start w:val="single" w:space="0" w:color="D3D3D3"/>
              <w:end w:val="single" w:space="0" w:color="D3D3D3"/>
            </w:tcBorders>
            <w:vMerge w:val="continue"/>
          </w:tcPr>
          <w:p>
            <w:pPr>
              <w:spacing w:before="0" w:after="60"/>
              <w:keepNext/>
            </w:pPr>
            <w:r>
              <w:rPr>
                <w:rFonts w:ascii="Calibri" w:hAnsi="Calibri"/>
                <w:sz w:val="20"/>
              </w:rPr>
              <w:t xml:space="default"/>
            </w:r>
          </w:p>
        </w:tc>
        <w:tc>
          <w:tcPr>
            <w:tcBorders>
              <w:bottom w:val="single" w:sz="16" w:space="0" w:color="D3D3D3"/>
              <w:start w:val="single" w:space="0" w:color="D3D3D3"/>
            </w:tcBorders>
          </w:tcPr>
          <w:p>
            <w:pPr>
              <w:spacing w:before="0" w:after="60"/>
              <w:keepNext/>
              <w:jc w:val="end"/>
            </w:pPr>
            {\i 
            <w:r>
              <w:rPr>
                <w:rFonts w:ascii="Calibri" w:hAnsi="Calibri"/>
                <w:sz w:val="20"/>
              </w:rPr>
              <w:t xml:space="preserve">r</w:t>
            </w:r>
            }
          </w:p>
        </w:tc>
        <w:tc>
          <w:tcPr>
            <w:tcBorders>
              <w:bottom w:val="single" w:sz="16" w:space="0" w:color="D3D3D3"/>
            </w:tcBorders>
          </w:tcPr>
          <w:p>
            <w:pPr>
              <w:spacing w:before="0" w:after="60"/>
              <w:keepNext/>
              <w:jc w:val="start"/>
            </w:pPr>
            <w:r>
              <w:rPr>
                <w:rFonts w:ascii="Calibri" w:hAnsi="Calibri"/>
                <w:sz w:val="20"/>
              </w:rPr>
              <w:t xml:space="default">95% CI</w:t>
            </w:r>
          </w:p>
        </w:tc>
        <w:tc>
          <w:tcPr>
            <w:tcBorders>
              <w:bottom w:val="single" w:sz="16" w:space="0" w:color="D3D3D3"/>
            </w:tcBorders>
          </w:tcPr>
          <w:p>
            <w:pPr>
              <w:spacing w:before="0" w:after="60"/>
              <w:keepNext/>
              <w:jc w:val="end"/>
            </w:pPr>
            {\i 
            <w:r>
              <w:rPr>
                <w:rFonts w:ascii="Calibri" w:hAnsi="Calibri"/>
                <w:sz w:val="20"/>
              </w:rPr>
              <w:t xml:space="preserve">b</w:t>
            </w:r>
            }
          </w:p>
        </w:tc>
        <w:tc>
          <w:tcPr>
            <w:tcBorders>
              <w:bottom w:val="single" w:sz="16" w:space="0" w:color="D3D3D3"/>
            </w:tcBorders>
          </w:tcPr>
          <w:p>
            <w:pPr>
              <w:spacing w:before="0" w:after="60"/>
              <w:keepNext/>
              <w:jc w:val="start"/>
            </w:pPr>
            <w:r>
              <w:rPr>
                <w:rFonts w:ascii="Calibri" w:hAnsi="Calibri"/>
                <w:sz w:val="20"/>
              </w:rPr>
              <w:t xml:space="default">95% CI</w:t>
            </w:r>
          </w:p>
        </w:tc>
        <w:tc>
          <w:tcPr>
            <w:tcBorders>
              <w:bottom w:val="single" w:sz="16" w:space="0" w:color="D3D3D3"/>
            </w:tcBorders>
          </w:tcPr>
          <w:p>
            <w:pPr>
              <w:spacing w:before="0" w:after="60"/>
              <w:keepNext/>
              <w:jc w:val="end"/>
            </w:pPr>
            {\i 
            <w:r>
              <w:rPr>
                <w:rFonts w:ascii="Calibri" w:hAnsi="Calibri"/>
                <w:sz w:val="20"/>
              </w:rPr>
              <w:t xml:space="preserve">t</w:t>
            </w:r>
            }
          </w:p>
        </w:tc>
        <w:tc>
          <w:tcPr>
            <w:tcBorders>
              <w:bottom w:val="single" w:sz="16" w:space="0" w:color="D3D3D3"/>
            </w:tcBorders>
          </w:tcPr>
          <w:p>
            <w:pPr>
              <w:spacing w:before="0" w:after="60"/>
              <w:keepNext/>
              <w:jc w:val="end"/>
            </w:pPr>
            <w:r>
              <w:rPr>
                <w:rFonts w:ascii="Calibri" w:hAnsi="Calibri"/>
                <w:sz w:val="20"/>
              </w:rPr>
              <w:t xml:space="default">df</w:t>
            </w:r>
          </w:p>
        </w:tc>
        <w:tc>
          <w:tcPr>
            <w:tcBorders>
              <w:bottom w:val="single" w:sz="16" w:space="0" w:color="D3D3D3"/>
              <w:end w:val="single" w:space="0" w:color="D3D3D3"/>
            </w:tcBorders>
          </w:tcPr>
          <w:p>
            <w:pPr>
              <w:spacing w:before="0" w:after="60"/>
              <w:keepNext/>
              <w:jc w:val="start"/>
            </w:pPr>
            {\i 
            <w:r>
              <w:rPr>
                <w:rFonts w:ascii="Calibri" w:hAnsi="Calibri"/>
                <w:sz w:val="20"/>
              </w:rPr>
              <w:t xml:space="preserve">p</w:t>
            </w:r>
            }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Well-being (D scale)</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[0.08, 0.27]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0.065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[0.031, 0.099]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3.731</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434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&lt; .001</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Job satisfaction (U scale)</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[-0.08, 0.11]</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0.041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[-0.215, 0.296]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0.312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415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.755</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Self-stigma (S scale)</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[-0.05, 0.14]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0.036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[-0.035, 0.107]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0.990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434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.323</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Stigma due to others (K scale)</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[-0.04, 0.15]</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0.021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[-0.016, 0.058]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1.119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434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.264</w:t>
            </w:r>
          </w:p>
        </w:tc>
      </w:tr>
      <w:tr>
        <w:trPr>
          <w:cantSplit/>
        </w:trPr>
        <w:tc>
          <w:tcPr>
            <w:gridSpan w:val="8"/>
          </w:tcPr>
          <w:p>
            <w:pPr>
              <w:spacing w:before="0" w:after="60"/>
              <w:keepNext/>
            </w:pPr>
            <w:r>
              <w:rPr>
                <w:rFonts w:ascii="Calibri" w:hAnsi="Calibri"/>
                <w:sz w:val="20"/>
              </w:rPr>
              <w:t xml:space="default">Pearson's correlation coefficients and unstandardised slopes of a simple linear regression of each outcome's raw sum score on age in years, with 95% confidence intervals. The t-test and its p-value refer to the null hypothesis of a zero slope.</w:t>
            </w:r>
          </w:p>
        </w:tc>
      </w:tr>
    </w:tbl>
    <w:bookmarkEnd w:id="41"/>
    <w:p>
      <w:r>
        <w:br w:type="page"/>
      </w:r>
    </w:p>
    <w:bookmarkStart w:id="42" w:name="tbl-reliability"/>
    <w:p>
      <w:pPr>
        <w:pStyle w:val="FigureTitle"/>
      </w:pPr>
      <w:r>
        <w:t xml:space="preserve">Table 4</w:t>
      </w:r>
    </w:p>
    <w:p>
      <w:pPr>
        <w:pStyle w:val="Caption"/>
      </w:pPr>
      <w:r>
        <w:t xml:space="preserve">Reliability indexes and competing confirmatory factor models of all scales</w:t>
      </w:r>
    </w:p>
    <w:tbl xmlns:w="http://schemas.openxmlformats.org/wordprocessingml/2006/main" xmlns:wp="http://schemas.openxmlformats.org/drawingml/2006/wordprocessingDrawing" xmlns:r="http://schemas.openxmlformats.org/officeDocument/2006/relationships" xmlns:w14="http://schemas.microsoft.com/office/word/2010/wordml">
      <w:tblPr>
        <w:tblCellMar>
          <w:top w:w="0" w:type="dxa"/>
          <w:bottom w:w="0" w:type="dxa"/>
          <w:start w:w="60" w:type="dxa"/>
          <w:end w:w="60" w:type="dxa"/>
        </w:tblCellMar>
        <w:tblW w:type="auto" w:w="0"/>
        <w:tblLook w:firstRow="0" w:lastRow="0" w:firstColumn="0" w:lastColumn="0" w:noHBand="0" w:noVBand="0"/>
        <w:jc w:val="center"/>
      </w:tblPr>
      <w:tr>
        <w:trPr>
          <w:cantSplit/>
          <w:tblHeader/>
        </w:trPr>
        <w:tc>
          <w:tcPr>
            <w:tcBorders>
              <w:top w:val="single" w:sz="16" w:space="0" w:color="D3D3D3"/>
              <w:start w:val="single" w:space="0" w:color="D3D3D3"/>
              <w:end w:val="single" w:space="0" w:color="D3D3D3"/>
            </w:tcBorders>
            <w:vMerge w:val="restart"/>
            <w:vAlign w:val="bottom"/>
            <w:gridSpan w:val="1"/>
          </w:tcPr>
          <w:p>
            <w:pPr>
              <w:spacing w:before="0" w:after="60"/>
              <w:keepNext/>
              <w:jc w:val="start"/>
            </w:pPr>
            <w:r>
              <w:rPr>
                <w:rFonts w:ascii="Calibri" w:hAnsi="Calibri"/>
                <w:sz w:val="20"/>
              </w:rPr>
              <w:t xml:space="default"/>
            </w:r>
          </w:p>
        </w:tc>
        <w:tc>
          <w:tcPr>
            <w:tcBorders>
              <w:top w:val="single" w:sz="16" w:space="0" w:color="D3D3D3"/>
              <w:start w:val="single" w:space="0" w:color="D3D3D3"/>
            </w:tcBorders>
          </w:tcPr>
          <w:p>
            <w:pPr>
              <w:spacing w:before="0" w:after="60"/>
              <w:keepNext/>
            </w:pPr>
            <w:r>
              <w:rPr>
                <w:rFonts w:ascii="Calibri" w:hAnsi="Calibri"/>
                <w:sz w:val="20"/>
              </w:rPr>
              <w:t xml:space="default"/>
            </w:r>
          </w:p>
        </w:tc>
        <w:tc>
          <w:tcPr>
            <w:tcBorders>
              <w:top w:val="single" w:sz="16" w:space="0" w:color="D3D3D3"/>
            </w:tcBorders>
          </w:tcPr>
          <w:p>
            <w:pPr>
              <w:spacing w:before="0" w:after="60"/>
              <w:keepNext/>
            </w:pPr>
            <w:r>
              <w:rPr>
                <w:rFonts w:ascii="Calibri" w:hAnsi="Calibri"/>
                <w:sz w:val="20"/>
              </w:rPr>
              <w:t xml:space="default"/>
            </w:r>
          </w:p>
        </w:tc>
        <w:tc>
          <w:tcPr>
            <w:tcBorders>
              <w:top w:val="single" w:sz="16" w:space="0" w:color="D3D3D3"/>
              <w:bottom w:val="single" w:sz="16" w:space="0" w:color="D3D3D3"/>
            </w:tcBorders>
            <w:gridSpan w:val="5"/>
          </w:tcPr>
          <w:p>
            <w:pPr>
              <w:spacing w:before="0" w:after="60"/>
              <w:keepNext/>
              <w:jc w:val="center"/>
            </w:pPr>
            <w:r>
              <w:rPr>
                <w:rFonts w:ascii="Calibri" w:hAnsi="Calibri"/>
                <w:sz w:val="20"/>
              </w:rPr>
              <w:t xml:space="default">Internal consistency</w:t>
            </w:r>
          </w:p>
        </w:tc>
        <w:tc>
          <w:tcPr>
            <w:tcBorders>
              <w:top w:val="single" w:sz="16" w:space="0" w:color="D3D3D3"/>
              <w:bottom w:val="single" w:sz="16" w:space="0" w:color="D3D3D3"/>
            </w:tcBorders>
            <w:gridSpan w:val="7"/>
          </w:tcPr>
          <w:p>
            <w:pPr>
              <w:spacing w:before="0" w:after="60"/>
              <w:keepNext/>
              <w:jc w:val="center"/>
            </w:pPr>
            <w:r>
              <w:rPr>
                <w:rFonts w:ascii="Calibri" w:hAnsi="Calibri"/>
                <w:sz w:val="20"/>
              </w:rPr>
              <w:t xml:space="default">Confirmatory factor analysis</w:t>
            </w:r>
          </w:p>
        </w:tc>
        <w:tc>
          <w:tcPr>
            <w:tcBorders>
              <w:top w:val="single" w:sz="16" w:space="0" w:color="D3D3D3"/>
              <w:end w:val="single" w:space="0" w:color="D3D3D3"/>
            </w:tcBorders>
          </w:tcPr>
          <w:p>
            <w:pPr>
              <w:spacing w:before="0" w:after="60"/>
              <w:keepNext/>
            </w:pPr>
            <w:r>
              <w:rPr>
                <w:rFonts w:ascii="Calibri" w:hAnsi="Calibri"/>
                <w:sz w:val="20"/>
              </w:rPr>
              <w:t xml:space="default"/>
            </w:r>
          </w:p>
        </w:tc>
      </w:tr>
      <w:tr>
        <w:trPr>
          <w:cantSplit/>
          <w:tblHeader/>
        </w:trPr>
        <w:tc>
          <w:tcPr>
            <w:tcBorders>
              <w:start w:val="single" w:space="0" w:color="D3D3D3"/>
              <w:end w:val="single" w:space="0" w:color="D3D3D3"/>
            </w:tcBorders>
            <w:vMerge w:val="continue"/>
            <w:gridSpan w:val="1"/>
          </w:tcPr>
          <w:p>
            <w:pPr>
              <w:spacing w:before="0" w:after="60"/>
              <w:keepNext/>
            </w:pPr>
            <w:r>
              <w:rPr>
                <w:rFonts w:ascii="Calibri" w:hAnsi="Calibri"/>
                <w:sz w:val="20"/>
              </w:rPr>
              <w:t xml:space="default"/>
            </w:r>
          </w:p>
        </w:tc>
        <w:tc>
          <w:tcPr>
            <w:tcBorders>
              <w:start w:val="single" w:space="0" w:color="D3D3D3"/>
            </w:tcBorders>
          </w:tcPr>
          <w:p>
            <w:pPr>
              <w:spacing w:before="0" w:after="60"/>
              <w:keepNext/>
            </w:pPr>
            <w:r>
              <w:rPr>
                <w:rFonts w:ascii="Calibri" w:hAnsi="Calibri"/>
                <w:sz w:val="20"/>
              </w:rPr>
              <w:t xml:space="default"/>
            </w:r>
          </w:p>
        </w:tc>
        <w:tc>
          <w:tcPr>
            <w:tcBorders/>
          </w:tcPr>
          <w:p>
            <w:pPr>
              <w:spacing w:before="0" w:after="60"/>
              <w:keepNext/>
            </w:pPr>
            <w:r>
              <w:rPr>
                <w:rFonts w:ascii="Calibri" w:hAnsi="Calibri"/>
                <w:sz w:val="20"/>
              </w:rPr>
              <w:t xml:space="default"/>
            </w:r>
          </w:p>
        </w:tc>
        <w:tc>
          <w:tcPr>
            <w:tcBorders>
              <w:bottom w:val="single" w:sz="16" w:space="0" w:color="D3D3D3"/>
            </w:tcBorders>
            <w:gridSpan w:val="2"/>
          </w:tcPr>
          <w:p>
            <w:pPr>
              <w:spacing w:before="0" w:after="60"/>
              <w:keepNext/>
              <w:jc w:val="center"/>
            </w:pPr>
            <w:r>
              <w:rPr>
                <w:rFonts w:ascii="Calibri" w:hAnsi="Calibri"/>
                <w:sz w:val="20"/>
              </w:rPr>
              <w:t xml:space="preserve">Cronbach's α</w:t>
            </w:r>
          </w:p>
        </w:tc>
        <w:tc>
          <w:tcPr>
            <w:tcBorders/>
          </w:tcPr>
          <w:p>
            <w:pPr>
              <w:spacing w:before="0" w:after="60"/>
              <w:keepNext/>
            </w:pPr>
            <w:r>
              <w:rPr>
                <w:rFonts w:ascii="Calibri" w:hAnsi="Calibri"/>
                <w:sz w:val="20"/>
              </w:rPr>
              <w:t xml:space="default"/>
            </w:r>
          </w:p>
        </w:tc>
        <w:tc>
          <w:tcPr>
            <w:tcBorders/>
          </w:tcPr>
          <w:p>
            <w:pPr>
              <w:spacing w:before="0" w:after="60"/>
              <w:keepNext/>
            </w:pPr>
            <w:r>
              <w:rPr>
                <w:rFonts w:ascii="Calibri" w:hAnsi="Calibri"/>
                <w:sz w:val="20"/>
              </w:rPr>
              <w:t xml:space="default"/>
            </w:r>
          </w:p>
        </w:tc>
        <w:tc>
          <w:tcPr>
            <w:tcBorders/>
          </w:tcPr>
          <w:p>
            <w:pPr>
              <w:spacing w:before="0" w:after="60"/>
              <w:keepNext/>
            </w:pPr>
            <w:r>
              <w:rPr>
                <w:rFonts w:ascii="Calibri" w:hAnsi="Calibri"/>
                <w:sz w:val="20"/>
              </w:rPr>
              <w:t xml:space="default"/>
            </w:r>
          </w:p>
        </w:tc>
        <w:tc>
          <w:tcPr>
            <w:tcBorders/>
          </w:tcPr>
          <w:p>
            <w:pPr>
              <w:spacing w:before="0" w:after="60"/>
              <w:keepNext/>
            </w:pPr>
            <w:r>
              <w:rPr>
                <w:rFonts w:ascii="Calibri" w:hAnsi="Calibri"/>
                <w:sz w:val="20"/>
              </w:rPr>
              <w:t xml:space="default"/>
            </w:r>
          </w:p>
        </w:tc>
        <w:tc>
          <w:tcPr>
            <w:tcBorders/>
          </w:tcPr>
          <w:p>
            <w:pPr>
              <w:spacing w:before="0" w:after="60"/>
              <w:keepNext/>
            </w:pPr>
            <w:r>
              <w:rPr>
                <w:rFonts w:ascii="Calibri" w:hAnsi="Calibri"/>
                <w:sz w:val="20"/>
              </w:rPr>
              <w:t xml:space="default"/>
            </w:r>
          </w:p>
        </w:tc>
        <w:tc>
          <w:tcPr>
            <w:tcBorders/>
          </w:tcPr>
          <w:p>
            <w:pPr>
              <w:spacing w:before="0" w:after="60"/>
              <w:keepNext/>
            </w:pPr>
            <w:r>
              <w:rPr>
                <w:rFonts w:ascii="Calibri" w:hAnsi="Calibri"/>
                <w:sz w:val="20"/>
              </w:rPr>
              <w:t xml:space="default"/>
            </w:r>
          </w:p>
        </w:tc>
        <w:tc>
          <w:tcPr>
            <w:tcBorders/>
          </w:tcPr>
          <w:p>
            <w:pPr>
              <w:spacing w:before="0" w:after="60"/>
              <w:keepNext/>
            </w:pPr>
            <w:r>
              <w:rPr>
                <w:rFonts w:ascii="Calibri" w:hAnsi="Calibri"/>
                <w:sz w:val="20"/>
              </w:rPr>
              <w:t xml:space="default"/>
            </w:r>
          </w:p>
        </w:tc>
        <w:tc>
          <w:tcPr>
            <w:tcBorders>
              <w:bottom w:val="single" w:sz="16" w:space="0" w:color="D3D3D3"/>
            </w:tcBorders>
            <w:gridSpan w:val="2"/>
          </w:tcPr>
          <w:p>
            <w:pPr>
              <w:spacing w:before="0" w:after="60"/>
              <w:keepNext/>
              <w:jc w:val="center"/>
            </w:pPr>
            <w:r>
              <w:rPr>
                <w:rFonts w:ascii="Calibri" w:hAnsi="Calibri"/>
                <w:sz w:val="20"/>
              </w:rPr>
              <w:t xml:space="default">RMSEA</w:t>
            </w:r>
          </w:p>
        </w:tc>
        <w:tc>
          <w:tcPr>
            <w:tcBorders/>
          </w:tcPr>
          <w:p>
            <w:pPr>
              <w:spacing w:before="0" w:after="60"/>
              <w:keepNext/>
            </w:pPr>
            <w:r>
              <w:rPr>
                <w:rFonts w:ascii="Calibri" w:hAnsi="Calibri"/>
                <w:sz w:val="20"/>
              </w:rPr>
              <w:t xml:space="default"/>
            </w:r>
          </w:p>
        </w:tc>
        <w:tc>
          <w:tcPr>
            <w:tcBorders>
              <w:end w:val="single" w:space="0" w:color="D3D3D3"/>
            </w:tcBorders>
          </w:tcPr>
          <w:p>
            <w:pPr>
              <w:spacing w:before="0" w:after="60"/>
              <w:keepNext/>
            </w:pPr>
            <w:r>
              <w:rPr>
                <w:rFonts w:ascii="Calibri" w:hAnsi="Calibri"/>
                <w:sz w:val="20"/>
              </w:rPr>
              <w:t xml:space="default"/>
            </w:r>
          </w:p>
        </w:tc>
      </w:tr>
      <w:tr>
        <w:trPr>
          <w:cantSplit/>
          <w:tblHeader/>
        </w:trPr>
        <w:tc>
          <w:tcPr>
            <w:tcBorders>
              <w:bottom w:val="single" w:sz="16" w:space="0" w:color="D3D3D3"/>
              <w:start w:val="single" w:space="0" w:color="D3D3D3"/>
              <w:end w:val="single" w:space="0" w:color="D3D3D3"/>
            </w:tcBorders>
            <w:vMerge w:val="continue"/>
          </w:tcPr>
          <w:p>
            <w:pPr>
              <w:spacing w:before="0" w:after="60"/>
              <w:keepNext/>
            </w:pPr>
            <w:r>
              <w:rPr>
                <w:rFonts w:ascii="Calibri" w:hAnsi="Calibri"/>
                <w:sz w:val="20"/>
              </w:rPr>
              <w:t xml:space="default"/>
            </w:r>
          </w:p>
        </w:tc>
        <w:tc>
          <w:tcPr>
            <w:tcBorders>
              <w:bottom w:val="single" w:sz="16" w:space="0" w:color="D3D3D3"/>
              <w:start w:val="single" w:space="0" w:color="D3D3D3"/>
            </w:tcBorders>
          </w:tcPr>
          <w:p>
            <w:pPr>
              <w:spacing w:before="0" w:after="60"/>
              <w:keepNext/>
              <w:jc w:val="end"/>
            </w:pPr>
            <w:r>
              <w:rPr>
                <w:rFonts w:ascii="Calibri" w:hAnsi="Calibri"/>
                <w:sz w:val="20"/>
              </w:rPr>
              <w:t xml:space="default">Items</w:t>
            </w:r>
          </w:p>
        </w:tc>
        <w:tc>
          <w:tcPr>
            <w:tcBorders>
              <w:bottom w:val="single" w:sz="16" w:space="0" w:color="D3D3D3"/>
            </w:tcBorders>
          </w:tcPr>
          <w:p>
            <w:pPr>
              <w:spacing w:before="0" w:after="60"/>
              <w:keepNext/>
              <w:jc w:val="end"/>
            </w:pPr>
            <w:r>
              <w:rPr>
                <w:rFonts w:ascii="Calibri" w:hAnsi="Calibri"/>
                <w:sz w:val="20"/>
              </w:rPr>
              <w:t xml:space="default">N</w:t>
            </w:r>
          </w:p>
        </w:tc>
        <w:tc>
          <w:tcPr>
            <w:tcBorders>
              <w:bottom w:val="single" w:sz="16" w:space="0" w:color="D3D3D3"/>
            </w:tcBorders>
          </w:tcPr>
          <w:p>
            <w:pPr>
              <w:spacing w:before="0" w:after="60"/>
              <w:keepNext/>
              <w:jc w:val="end"/>
            </w:pPr>
            <w:r>
              <w:rPr>
                <w:rFonts w:ascii="Calibri" w:hAnsi="Calibri"/>
                <w:sz w:val="20"/>
              </w:rPr>
              <w:t xml:space="default">Raw</w:t>
            </w:r>
          </w:p>
        </w:tc>
        <w:tc>
          <w:tcPr>
            <w:tcBorders>
              <w:bottom w:val="single" w:sz="16" w:space="0" w:color="D3D3D3"/>
            </w:tcBorders>
          </w:tcPr>
          <w:p>
            <w:pPr>
              <w:spacing w:before="0" w:after="60"/>
              <w:keepNext/>
              <w:jc w:val="end"/>
            </w:pPr>
            <w:r>
              <w:rPr>
                <w:rFonts w:ascii="Calibri" w:hAnsi="Calibri"/>
                <w:sz w:val="20"/>
              </w:rPr>
              <w:t xml:space="default">Std.</w:t>
            </w:r>
          </w:p>
        </w:tc>
        <w:tc>
          <w:tcPr>
            <w:tcBorders>
              <w:bottom w:val="single" w:sz="16" w:space="0" w:color="D3D3D3"/>
            </w:tcBorders>
          </w:tcPr>
          <w:p>
            <w:pPr>
              <w:spacing w:before="0" w:after="60"/>
              <w:keepNext/>
              <w:jc w:val="end"/>
            </w:pPr>
            <w:r>
              <w:rPr>
                <w:rFonts w:ascii="Calibri" w:hAnsi="Calibri"/>
                <w:sz w:val="20"/>
              </w:rPr>
              <w:t xml:space="preserve">λ</w:t>
            </w:r>
            {\sub 
            <w:r>
              <w:rPr>
                <w:rFonts w:ascii="Calibri" w:hAnsi="Calibri"/>
                <w:sz w:val="20"/>
              </w:rPr>
              <w:t xml:space="preserve">6</w:t>
            </w:r>
            }
          </w:p>
        </w:tc>
        <w:tc>
          <w:tcPr>
            <w:tcBorders>
              <w:bottom w:val="single" w:sz="16" w:space="0" w:color="D3D3D3"/>
            </w:tcBorders>
          </w:tcPr>
          <w:p>
            <w:pPr>
              <w:spacing w:before="0" w:after="60"/>
              <w:keepNext/>
              <w:jc w:val="start"/>
            </w:pPr>
            <w:r>
              <w:rPr>
                <w:rFonts w:ascii="Calibri" w:hAnsi="Calibri"/>
                <w:sz w:val="20"/>
              </w:rPr>
              <w:t xml:space="preserve">ω</w:t>
            </w:r>
            {\sub 
            <w:r>
              <w:rPr>
                <w:rFonts w:ascii="Calibri" w:hAnsi="Calibri"/>
                <w:sz w:val="20"/>
              </w:rPr>
              <w:t xml:space="preserve">ord</w:t>
            </w:r>
            }
          </w:p>
        </w:tc>
        <w:tc>
          <w:tcPr>
            <w:tcBorders>
              <w:bottom w:val="single" w:sz="16" w:space="0" w:color="D3D3D3"/>
            </w:tcBorders>
          </w:tcPr>
          <w:p>
            <w:pPr>
              <w:spacing w:before="0" w:after="60"/>
              <w:keepNext/>
              <w:jc w:val="end"/>
            </w:pPr>
            <w:r>
              <w:rPr>
                <w:rFonts w:ascii="Calibri" w:hAnsi="Calibri"/>
                <w:sz w:val="20"/>
              </w:rPr>
              <w:t xml:space="preserve">Mean </w:t>
            </w:r>
            {\i 
            <w:r>
              <w:rPr>
                <w:rFonts w:ascii="Calibri" w:hAnsi="Calibri"/>
                <w:sz w:val="20"/>
              </w:rPr>
              <w:t xml:space="preserve">r</w:t>
            </w:r>
            }
          </w:p>
        </w:tc>
        <w:tc>
          <w:tcPr>
            <w:tcBorders>
              <w:bottom w:val="single" w:sz="16" w:space="0" w:color="D3D3D3"/>
            </w:tcBorders>
          </w:tcPr>
          <w:p>
            <w:pPr>
              <w:spacing w:before="0" w:after="60"/>
              <w:keepNext/>
              <w:jc w:val="end"/>
            </w:pPr>
            <w:r>
              <w:rPr>
                <w:rFonts w:ascii="Calibri" w:hAnsi="Calibri"/>
                <w:sz w:val="20"/>
              </w:rPr>
              <w:t xml:space="default">df</w:t>
            </w:r>
          </w:p>
        </w:tc>
        <w:tc>
          <w:tcPr>
            <w:tcBorders>
              <w:bottom w:val="single" w:sz="16" w:space="0" w:color="D3D3D3"/>
            </w:tcBorders>
          </w:tcPr>
          <w:p>
            <w:pPr>
              <w:spacing w:before="0" w:after="60"/>
              <w:keepNext/>
              <w:jc w:val="end"/>
            </w:pPr>
            <w:r>
              <w:rPr>
                <w:rFonts w:ascii="Calibri" w:hAnsi="Calibri"/>
                <w:sz w:val="20"/>
              </w:rPr>
              <w:t xml:space="preserve">χ²</w:t>
            </w:r>
          </w:p>
        </w:tc>
        <w:tc>
          <w:tcPr>
            <w:tcBorders>
              <w:bottom w:val="single" w:sz="16" w:space="0" w:color="D3D3D3"/>
            </w:tcBorders>
          </w:tcPr>
          <w:p>
            <w:pPr>
              <w:spacing w:before="0" w:after="60"/>
              <w:keepNext/>
              <w:jc w:val="end"/>
            </w:pPr>
            <w:r>
              <w:rPr>
                <w:rFonts w:ascii="Calibri" w:hAnsi="Calibri"/>
                <w:sz w:val="20"/>
              </w:rPr>
              <w:t xml:space="default">CFI</w:t>
            </w:r>
          </w:p>
        </w:tc>
        <w:tc>
          <w:tcPr>
            <w:tcBorders>
              <w:bottom w:val="single" w:sz="16" w:space="0" w:color="D3D3D3"/>
            </w:tcBorders>
          </w:tcPr>
          <w:p>
            <w:pPr>
              <w:spacing w:before="0" w:after="60"/>
              <w:keepNext/>
              <w:jc w:val="end"/>
            </w:pPr>
            <w:r>
              <w:rPr>
                <w:rFonts w:ascii="Calibri" w:hAnsi="Calibri"/>
                <w:sz w:val="20"/>
              </w:rPr>
              <w:t xml:space="default">TLI</w:t>
            </w:r>
          </w:p>
        </w:tc>
        <w:tc>
          <w:tcPr>
            <w:tcBorders>
              <w:bottom w:val="single" w:sz="16" w:space="0" w:color="D3D3D3"/>
            </w:tcBorders>
          </w:tcPr>
          <w:p>
            <w:pPr>
              <w:spacing w:before="0" w:after="60"/>
              <w:keepNext/>
              <w:jc w:val="end"/>
            </w:pPr>
            <w:r>
              <w:rPr>
                <w:rFonts w:ascii="Calibri" w:hAnsi="Calibri"/>
                <w:sz w:val="20"/>
              </w:rPr>
              <w:t xml:space="default">Estimate</w:t>
            </w:r>
          </w:p>
        </w:tc>
        <w:tc>
          <w:tcPr>
            <w:tcBorders>
              <w:bottom w:val="single" w:sz="16" w:space="0" w:color="D3D3D3"/>
            </w:tcBorders>
          </w:tcPr>
          <w:p>
            <w:pPr>
              <w:spacing w:before="0" w:after="60"/>
              <w:keepNext/>
              <w:jc w:val="start"/>
            </w:pPr>
            <w:r>
              <w:rPr>
                <w:rFonts w:ascii="Calibri" w:hAnsi="Calibri"/>
                <w:sz w:val="20"/>
              </w:rPr>
              <w:t xml:space="default">95% CI</w:t>
            </w:r>
          </w:p>
        </w:tc>
        <w:tc>
          <w:tcPr>
            <w:tcBorders>
              <w:bottom w:val="single" w:sz="16" w:space="0" w:color="D3D3D3"/>
            </w:tcBorders>
          </w:tcPr>
          <w:p>
            <w:pPr>
              <w:spacing w:before="0" w:after="60"/>
              <w:keepNext/>
              <w:jc w:val="end"/>
            </w:pPr>
            <w:r>
              <w:rPr>
                <w:rFonts w:ascii="Calibri" w:hAnsi="Calibri"/>
                <w:sz w:val="20"/>
              </w:rPr>
              <w:t xml:space="default">SRMR</w:t>
            </w:r>
          </w:p>
        </w:tc>
        <w:tc>
          <w:tcPr>
            <w:tcBorders>
              <w:bottom w:val="single" w:sz="16" w:space="0" w:color="D3D3D3"/>
              <w:end w:val="single" w:space="0" w:color="D3D3D3"/>
            </w:tcBorders>
          </w:tcPr>
          <w:p>
            <w:pPr>
              <w:spacing w:before="0" w:after="60"/>
              <w:keepNext/>
              <w:jc w:val="start"/>
            </w:pPr>
            <w:r>
              <w:rPr>
                <w:rFonts w:ascii="Calibri" w:hAnsi="Calibri"/>
                <w:sz w:val="20"/>
              </w:rPr>
              <w:t xml:space="default">Note</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16"/>
          </w:tcPr>
          <w:p>
            <w:pPr>
              <w:spacing w:before="0" w:after="60"/>
              <w:keepNext/>
            </w:pPr>
            <w:r>
              <w:rPr>
                <w:rFonts w:ascii="Calibri" w:hAnsi="Calibri"/>
                <w:sz w:val="20"/>
              </w:rPr>
              <w:t xml:space="default">Teacher Subjective Wellbeing Questionnaire</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TSWQ (unidimensional)</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438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0.82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0.82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0.85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0.90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0.37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20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497.5</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0.60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0.43</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0.322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[0.294, 0.351]</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0.169</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TSWQ (2 factors)</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438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0.82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0.82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0.85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0.89 to 0.90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0.37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58.3</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0.91</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0.127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[0.096, 0.160]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0.047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TSWQ: school connectedness</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438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0.84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0.84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0.80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0.90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0.57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11.6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0.93</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0.165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[0.081, 0.264]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0.026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TSWQ: teaching efficacy</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438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0.80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0.81</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0.76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0.89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0.51</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8.6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0.173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[0.073, 0.292]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0.030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16"/>
          </w:tcPr>
          <w:p>
            <w:pPr>
              <w:spacing w:before="0" w:after="60"/>
              <w:keepNext/>
            </w:pPr>
            <w:r>
              <w:rPr>
                <w:rFonts w:ascii="Calibri" w:hAnsi="Calibri"/>
                <w:sz w:val="20"/>
              </w:rPr>
              <w:t xml:space="default">Job Satisfaction Survey: whole-scale models</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JSS (unidimensional)</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36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419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0.94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0.24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594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4,283.8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0.53</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0.50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0.124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[0.120, 0.128]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0.114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JSS (9 facets)</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36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419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0.70 to 0.86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0.24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558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1,784.6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0.80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0.78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0.082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[0.078, 0.086]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0.068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inadmissible</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JSS (second order)</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36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419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0.70 to 0.86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0.24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585</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2,494.3</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0.76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0.74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0.090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[0.086, 0.094]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0.090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inadmissible</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16"/>
          </w:tcPr>
          <w:p>
            <w:pPr>
              <w:spacing w:before="0" w:after="60"/>
              <w:keepNext/>
            </w:pPr>
            <w:r>
              <w:rPr>
                <w:rFonts w:ascii="Calibri" w:hAnsi="Calibri"/>
                <w:sz w:val="20"/>
              </w:rPr>
              <w:t xml:space="default">Job Satisfaction Survey: facet subscales</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JSS: Pay</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437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0.80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0.81</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0.77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0.84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0.51</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35.2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0.88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0.182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[0.132, 0.238]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0.039</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JSS: Promotion</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431</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0.73</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0.73</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0.69</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0.78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0.41</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2.5</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0.021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[0.000, 0.100]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0.014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JSS: Supervision</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433</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0.79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0.79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0.76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0.85</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0.49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0.000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[0.000, 0.073]</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0.007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JSS: Fringe benefits</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432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0.74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0.75</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0.70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0.79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0.43</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2.9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0.029</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[0.000, 0.094]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0.013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JSS: Contingent rewards</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437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0.71</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0.72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0.66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0.75</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0.39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0.043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[0.000, 0.098]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0.014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JSS: Operating procedures</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438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0.64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0.64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0.60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0.69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0.30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30.5</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0.76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0.172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[0.115, 0.236]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0.061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JSS: Coworkers</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437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0.68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0.71</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0.67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0.77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0.38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25.9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0.87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0.155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[0.102, 0.215]</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0.045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JSS: Nature of work</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436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0.74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0.77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0.75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0.84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0.46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3.7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0.032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[0.000, 0.121]</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0.016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JSS: Communication</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437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0.78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0.78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0.73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0.83</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0.47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0.004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[0.000, 0.081]</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0.008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16"/>
          </w:tcPr>
          <w:p>
            <w:pPr>
              <w:spacing w:before="0" w:after="60"/>
              <w:keepNext/>
            </w:pPr>
            <w:r>
              <w:rPr>
                <w:rFonts w:ascii="Calibri" w:hAnsi="Calibri"/>
                <w:sz w:val="20"/>
              </w:rPr>
              <w:t xml:space="default">Stigma scales</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 (unidimensional)</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438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0.89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0.89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0.92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0.45</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35</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243.1</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0.107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[0.096, 0.119]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0.044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 (unidimensional)</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5</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438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0.93</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0.95</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0.71</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5</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38.3</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0.138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[0.095, 0.184]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0.017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r>
      <w:tr>
        <w:trPr>
          <w:cantSplit/>
        </w:trPr>
        <w:tc>
          <w:tcPr>
            <w:gridSpan w:val="16"/>
          </w:tcPr>
          <w:p>
            <w:pPr>
              <w:spacing w:before="0" w:after="60"/>
              <w:keepNext/>
            </w:pPr>
            <w:r>
              <w:rPr>
                <w:rFonts w:ascii="Calibri" w:hAnsi="Calibri"/>
                <w:sz w:val="20"/>
              </w:rPr>
              <w:t xml:space="preserve">Each questionnaire is reported both as the unidimensional model implied by using</w:t>
            </w:r>
            <w:r xmlns:w="http://schemas.openxmlformats.org/wordprocessingml/2006/main">
              <w:rPr>
                <w:rFonts w:ascii="Calibri" w:hAnsi="Calibri"/>
                <w:sz w:val="20"/>
              </w:rPr>
              <w:t xml:space="preserve"> </w:t>
            </w:r>
            <w:r>
              <w:rPr>
                <w:rFonts w:ascii="Calibri" w:hAnsi="Calibri"/>
                <w:sz w:val="20"/>
              </w:rPr>
              <w:t xml:space="preserve">its total sum score and under the factor structure published for that instrument:</w:t>
            </w:r>
            <w:r xmlns:w="http://schemas.openxmlformats.org/wordprocessingml/2006/main">
              <w:rPr>
                <w:rFonts w:ascii="Calibri" w:hAnsi="Calibri"/>
                <w:sz w:val="20"/>
              </w:rPr>
              <w:t xml:space="preserve"> </w:t>
            </w:r>
            <w:r>
              <w:rPr>
                <w:rFonts w:ascii="Calibri" w:hAnsi="Calibri"/>
                <w:sz w:val="20"/>
              </w:rPr>
              <w:t xml:space="preserve">two subscales for the Teacher Subjective Wellbeing Questionnaire (Renshaw et al.,</w:t>
            </w:r>
            <w:r xmlns:w="http://schemas.openxmlformats.org/wordprocessingml/2006/main">
              <w:rPr>
                <w:rFonts w:ascii="Calibri" w:hAnsi="Calibri"/>
                <w:sz w:val="20"/>
              </w:rPr>
              <w:t xml:space="preserve"> </w:t>
            </w:r>
            <w:r>
              <w:rPr>
                <w:rFonts w:ascii="Calibri" w:hAnsi="Calibri"/>
                <w:sz w:val="20"/>
              </w:rPr>
              <w:t xml:space="preserve">2015) and nine four-item facets for the Job Satisfaction Survey (Spector, 1985),</w:t>
            </w:r>
            <w:r xmlns:w="http://schemas.openxmlformats.org/wordprocessingml/2006/main">
              <w:rPr>
                <w:rFonts w:ascii="Calibri" w:hAnsi="Calibri"/>
                <w:sz w:val="20"/>
              </w:rPr>
              <w:t xml:space="preserve"> </w:t>
            </w:r>
            <w:r>
              <w:rPr>
                <w:rFonts w:ascii="Calibri" w:hAnsi="Calibri"/>
                <w:sz w:val="20"/>
              </w:rPr>
              <w:t xml:space="preserve">the latter fitted as nine correlated factors and as nine factors loading on a</w:t>
            </w:r>
            <w:r xmlns:w="http://schemas.openxmlformats.org/wordprocessingml/2006/main">
              <w:rPr>
                <w:rFonts w:ascii="Calibri" w:hAnsi="Calibri"/>
                <w:sz w:val="20"/>
              </w:rPr>
              <w:t xml:space="preserve"> </w:t>
            </w:r>
            <w:r>
              <w:rPr>
                <w:rFonts w:ascii="Calibri" w:hAnsi="Calibri"/>
                <w:sz w:val="20"/>
              </w:rPr>
              <w:t xml:space="preserve">single second-order factor. Rows sharing a set of items necessarily share their</w:t>
            </w:r>
            <w:r xmlns:w="http://schemas.openxmlformats.org/wordprocessingml/2006/main">
              <w:rPr>
                <w:rFonts w:ascii="Calibri" w:hAnsi="Calibri"/>
                <w:sz w:val="20"/>
              </w:rPr>
              <w:t xml:space="preserve"> </w:t>
            </w:r>
            <w:r>
              <w:rPr>
                <w:rFonts w:ascii="Calibri" w:hAnsi="Calibri"/>
                <w:sz w:val="20"/>
              </w:rPr>
              <w:t xml:space="preserve">internal consistency coefficients, which do not depend on the factor model.</w:t>
            </w:r>
            <w:r xmlns:w="http://schemas.openxmlformats.org/wordprocessingml/2006/main">
              <w:rPr>
                <w:rFonts w:ascii="Calibri" w:hAnsi="Calibri"/>
                <w:sz w:val="20"/>
              </w:rPr>
              <w:t xml:space="preserve"> </w:t>
            </w:r>
            <w:r>
              <w:rPr>
                <w:rFonts w:ascii="Calibri" w:hAnsi="Calibri"/>
                <w:sz w:val="20"/>
              </w:rPr>
              <w:t xml:space="preserve">Raw and standardised Cronbach's α and Guttman's λ</w:t>
            </w:r>
            {\sub 
            <w:r>
              <w:rPr>
                <w:rFonts w:ascii="Calibri" w:hAnsi="Calibri"/>
                <w:sz w:val="20"/>
              </w:rPr>
              <w:t xml:space="preserve">6</w:t>
            </w:r>
            }
            <w:r>
              <w:rPr>
                <w:rFonts w:ascii="Calibri" w:hAnsi="Calibri"/>
                <w:sz w:val="20"/>
              </w:rPr>
              <w:t xml:space="preserve"> are</w:t>
            </w:r>
            <w:r xmlns:w="http://schemas.openxmlformats.org/wordprocessingml/2006/main">
              <w:rPr>
                <w:rFonts w:ascii="Calibri" w:hAnsi="Calibri"/>
                <w:sz w:val="20"/>
              </w:rPr>
              <w:t xml:space="preserve"> </w:t>
            </w:r>
            <w:r>
              <w:rPr>
                <w:rFonts w:ascii="Calibri" w:hAnsi="Calibri"/>
                <w:sz w:val="20"/>
              </w:rPr>
              <w:t xml:space="preserve">Pearson-based coefficients computed by the psych R package with reverse-coded items</w:t>
            </w:r>
            <w:r xmlns:w="http://schemas.openxmlformats.org/wordprocessingml/2006/main">
              <w:rPr>
                <w:rFonts w:ascii="Calibri" w:hAnsi="Calibri"/>
                <w:sz w:val="20"/>
              </w:rPr>
              <w:t xml:space="preserve"> </w:t>
            </w:r>
            <w:r>
              <w:rPr>
                <w:rFonts w:ascii="Calibri" w:hAnsi="Calibri"/>
                <w:sz w:val="20"/>
              </w:rPr>
              <w:t xml:space="preserve">rescored. ω</w:t>
            </w:r>
            {\sub 
            <w:r>
              <w:rPr>
                <w:rFonts w:ascii="Calibri" w:hAnsi="Calibri"/>
                <w:sz w:val="20"/>
              </w:rPr>
              <w:t xml:space="preserve">ord</w:t>
            </w:r>
            }
            <w:r>
              <w:rPr>
                <w:rFonts w:ascii="Calibri" w:hAnsi="Calibri"/>
                <w:sz w:val="20"/>
              </w:rPr>
              <w:t xml:space="preserve"> is ordinal omega, computed from the completely</w:t>
            </w:r>
            <w:r xmlns:w="http://schemas.openxmlformats.org/wordprocessingml/2006/main">
              <w:rPr>
                <w:rFonts w:ascii="Calibri" w:hAnsi="Calibri"/>
                <w:sz w:val="20"/>
              </w:rPr>
              <w:t xml:space="preserve"> </w:t>
            </w:r>
            <w:r>
              <w:rPr>
                <w:rFonts w:ascii="Calibri" w:hAnsi="Calibri"/>
                <w:sz w:val="20"/>
              </w:rPr>
              <w:t xml:space="preserve">standardised solution as (Σλ)² / ((Σλ)² +</w:t>
            </w:r>
            <w:r xmlns:w="http://schemas.openxmlformats.org/wordprocessingml/2006/main">
              <w:rPr>
                <w:rFonts w:ascii="Calibri" w:hAnsi="Calibri"/>
                <w:sz w:val="20"/>
              </w:rPr>
              <w:t xml:space="preserve"> </w:t>
            </w:r>
            <w:r>
              <w:rPr>
                <w:rFonts w:ascii="Calibri" w:hAnsi="Calibri"/>
                <w:sz w:val="20"/>
              </w:rPr>
              <w:t xml:space="preserve">Σθ); unlike α it does not assume tau-equivalence and it treats the</w:t>
            </w:r>
            <w:r xmlns:w="http://schemas.openxmlformats.org/wordprocessingml/2006/main">
              <w:rPr>
                <w:rFonts w:ascii="Calibri" w:hAnsi="Calibri"/>
                <w:sz w:val="20"/>
              </w:rPr>
              <w:t xml:space="preserve"> </w:t>
            </w:r>
            <w:r>
              <w:rPr>
                <w:rFonts w:ascii="Calibri" w:hAnsi="Calibri"/>
                <w:sz w:val="20"/>
              </w:rPr>
              <w:t xml:space="preserve">items as ordered categorical. For multi-factor models the range across first-order</w:t>
            </w:r>
            <w:r xmlns:w="http://schemas.openxmlformats.org/wordprocessingml/2006/main">
              <w:rPr>
                <w:rFonts w:ascii="Calibri" w:hAnsi="Calibri"/>
                <w:sz w:val="20"/>
              </w:rPr>
              <w:t xml:space="preserve"> </w:t>
            </w:r>
            <w:r>
              <w:rPr>
                <w:rFonts w:ascii="Calibri" w:hAnsi="Calibri"/>
                <w:sz w:val="20"/>
              </w:rPr>
              <w:t xml:space="preserve">factors is given. All models are estimated by WLSMV with the residuals parametrised;</w:t>
            </w:r>
            <w:r xmlns:w="http://schemas.openxmlformats.org/wordprocessingml/2006/main">
              <w:rPr>
                <w:rFonts w:ascii="Calibri" w:hAnsi="Calibri"/>
                <w:sz w:val="20"/>
              </w:rPr>
              <w:t xml:space="preserve"> </w:t>
            </w:r>
            <w:r>
              <w:rPr>
                <w:rFonts w:ascii="Calibri" w:hAnsi="Calibri"/>
                <w:sz w:val="20"/>
              </w:rPr>
              <w:t xml:space="preserve">χ² and its degrees of freedom are the scaled ones and CFI, TLI and RMSEA the</w:t>
            </w:r>
            <w:r xmlns:w="http://schemas.openxmlformats.org/wordprocessingml/2006/main">
              <w:rPr>
                <w:rFonts w:ascii="Calibri" w:hAnsi="Calibri"/>
                <w:sz w:val="20"/>
              </w:rPr>
              <w:t xml:space="preserve"> </w:t>
            </w:r>
            <w:r>
              <w:rPr>
                <w:rFonts w:ascii="Calibri" w:hAnsi="Calibri"/>
                <w:sz w:val="20"/>
              </w:rPr>
              <w:t xml:space="preserve">robust ones. Mean </w:t>
            </w:r>
            {\i 
            <w:r>
              <w:rPr>
                <w:rFonts w:ascii="Calibri" w:hAnsi="Calibri"/>
                <w:sz w:val="20"/>
              </w:rPr>
              <w:t xml:space="preserve">r</w:t>
            </w:r>
            }
            <w:r>
              <w:rPr>
                <w:rFonts w:ascii="Calibri" w:hAnsi="Calibri"/>
                <w:sz w:val="20"/>
              </w:rPr>
              <w:t xml:space="preserve"> is the average inter-item correlation.</w:t>
            </w:r>
          </w:p>
        </w:tc>
      </w:tr>
    </w:tbl>
    <w:bookmarkEnd w:id="42"/>
    <w:p>
      <w:r>
        <w:br w:type="page"/>
      </w:r>
    </w:p>
    <w:bookmarkStart w:id="43" w:name="tbl-sem"/>
    <w:p>
      <w:pPr>
        <w:pStyle w:val="FigureTitle"/>
      </w:pPr>
      <w:r>
        <w:t xml:space="preserve">Table 5</w:t>
      </w:r>
    </w:p>
    <w:p>
      <w:pPr>
        <w:pStyle w:val="Caption"/>
      </w:pPr>
      <w:r>
        <w:t xml:space="preserve">Effects derived from the structural equation model of observed variables</w:t>
      </w:r>
    </w:p>
    <w:tbl xmlns:w="http://schemas.openxmlformats.org/wordprocessingml/2006/main" xmlns:wp="http://schemas.openxmlformats.org/drawingml/2006/wordprocessingDrawing" xmlns:r="http://schemas.openxmlformats.org/officeDocument/2006/relationships" xmlns:w14="http://schemas.microsoft.com/office/word/2010/wordml">
      <w:tblPr>
        <w:tblCellMar>
          <w:top w:w="0" w:type="dxa"/>
          <w:bottom w:w="0" w:type="dxa"/>
          <w:start w:w="60" w:type="dxa"/>
          <w:end w:w="60" w:type="dxa"/>
        </w:tblCellMar>
        <w:tblW w:type="auto" w:w="0"/>
        <w:tblLook w:firstRow="0" w:lastRow="0" w:firstColumn="0" w:lastColumn="0" w:noHBand="0" w:noVBand="0"/>
        <w:jc w:val="center"/>
      </w:tblPr>
      <w:tr>
        <w:trPr>
          <w:cantSplit/>
          <w:tblHeader/>
        </w:trPr>
        <w:tc>
          <w:tcPr>
            <w:tcBorders>
              <w:top w:val="single" w:sz="16" w:space="0" w:color="D3D3D3"/>
              <w:start w:val="single" w:space="0" w:color="D3D3D3"/>
              <w:end w:val="single" w:space="0" w:color="D3D3D3"/>
            </w:tcBorders>
            <w:vMerge w:val="restart"/>
            <w:vAlign w:val="bottom"/>
            <w:gridSpan w:val="1"/>
          </w:tcPr>
          <w:p>
            <w:pPr>
              <w:spacing w:before="0" w:after="60"/>
              <w:keepNext/>
              <w:jc w:val="start"/>
            </w:pPr>
            <w:r>
              <w:rPr>
                <w:rFonts w:ascii="Calibri" w:hAnsi="Calibri"/>
                <w:sz w:val="20"/>
              </w:rPr>
              <w:t xml:space="default"/>
            </w:r>
          </w:p>
        </w:tc>
        <w:tc>
          <w:tcPr>
            <w:tcBorders>
              <w:top w:val="single" w:sz="16" w:space="0" w:color="D3D3D3"/>
              <w:bottom w:val="single" w:sz="16" w:space="0" w:color="D3D3D3"/>
              <w:start w:val="single" w:space="0" w:color="D3D3D3"/>
            </w:tcBorders>
            <w:gridSpan w:val="2"/>
          </w:tcPr>
          <w:p>
            <w:pPr>
              <w:spacing w:before="0" w:after="60"/>
              <w:keepNext/>
              <w:jc w:val="center"/>
            </w:pPr>
            <w:r>
              <w:rPr>
                <w:rFonts w:ascii="Calibri" w:hAnsi="Calibri"/>
                <w:sz w:val="20"/>
              </w:rPr>
              <w:t xml:space="default">38 years old</w:t>
            </w:r>
          </w:p>
        </w:tc>
        <w:tc>
          <w:tcPr>
            <w:tcBorders>
              <w:top w:val="single" w:sz="16" w:space="0" w:color="D3D3D3"/>
              <w:bottom w:val="single" w:sz="16" w:space="0" w:color="D3D3D3"/>
            </w:tcBorders>
            <w:gridSpan w:val="2"/>
          </w:tcPr>
          <w:p>
            <w:pPr>
              <w:spacing w:before="0" w:after="60"/>
              <w:keepNext/>
              <w:jc w:val="center"/>
            </w:pPr>
            <w:r>
              <w:rPr>
                <w:rFonts w:ascii="Calibri" w:hAnsi="Calibri"/>
                <w:sz w:val="20"/>
              </w:rPr>
              <w:t xml:space="default">48 years old</w:t>
            </w:r>
          </w:p>
        </w:tc>
        <w:tc>
          <w:tcPr>
            <w:tcBorders>
              <w:top w:val="single" w:sz="16" w:space="0" w:color="D3D3D3"/>
              <w:bottom w:val="single" w:sz="16" w:space="0" w:color="D3D3D3"/>
              <w:end w:val="single" w:space="0" w:color="D3D3D3"/>
            </w:tcBorders>
            <w:gridSpan w:val="2"/>
          </w:tcPr>
          <w:p>
            <w:pPr>
              <w:spacing w:before="0" w:after="60"/>
              <w:keepNext/>
              <w:jc w:val="center"/>
            </w:pPr>
            <w:r>
              <w:rPr>
                <w:rFonts w:ascii="Calibri" w:hAnsi="Calibri"/>
                <w:sz w:val="20"/>
              </w:rPr>
              <w:t xml:space="default">58 years old</w:t>
            </w:r>
          </w:p>
        </w:tc>
      </w:tr>
      <w:tr>
        <w:trPr>
          <w:cantSplit/>
          <w:tblHeader/>
        </w:trPr>
        <w:tc>
          <w:tcPr>
            <w:tcBorders>
              <w:bottom w:val="single" w:sz="16" w:space="0" w:color="D3D3D3"/>
              <w:start w:val="single" w:space="0" w:color="D3D3D3"/>
              <w:end w:val="single" w:space="0" w:color="D3D3D3"/>
            </w:tcBorders>
            <w:vMerge w:val="continue"/>
          </w:tcPr>
          <w:p>
            <w:pPr>
              <w:spacing w:before="0" w:after="60"/>
              <w:keepNext/>
            </w:pPr>
            <w:r>
              <w:rPr>
                <w:rFonts w:ascii="Calibri" w:hAnsi="Calibri"/>
                <w:sz w:val="20"/>
              </w:rPr>
              <w:t xml:space="default"/>
            </w:r>
          </w:p>
        </w:tc>
        <w:tc>
          <w:tcPr>
            <w:tcBorders>
              <w:bottom w:val="single" w:sz="16" w:space="0" w:color="D3D3D3"/>
              <w:start w:val="single" w:space="0" w:color="D3D3D3"/>
            </w:tcBorders>
          </w:tcPr>
          <w:p>
            <w:pPr>
              <w:spacing w:before="0" w:after="60"/>
              <w:keepNext/>
              <w:jc w:val="start"/>
            </w:pPr>
            <w:r>
              <w:rPr>
                <w:rFonts w:ascii="Calibri" w:hAnsi="Calibri"/>
                <w:sz w:val="20"/>
              </w:rPr>
              <w:t xml:space="default">Male</w:t>
            </w:r>
          </w:p>
        </w:tc>
        <w:tc>
          <w:tcPr>
            <w:tcBorders>
              <w:bottom w:val="single" w:sz="16" w:space="0" w:color="D3D3D3"/>
            </w:tcBorders>
          </w:tcPr>
          <w:p>
            <w:pPr>
              <w:spacing w:before="0" w:after="60"/>
              <w:keepNext/>
              <w:jc w:val="start"/>
            </w:pPr>
            <w:r>
              <w:rPr>
                <w:rFonts w:ascii="Calibri" w:hAnsi="Calibri"/>
                <w:sz w:val="20"/>
              </w:rPr>
              <w:t xml:space="default">Female</w:t>
            </w:r>
          </w:p>
        </w:tc>
        <w:tc>
          <w:tcPr>
            <w:tcBorders>
              <w:bottom w:val="single" w:sz="16" w:space="0" w:color="D3D3D3"/>
            </w:tcBorders>
          </w:tcPr>
          <w:p>
            <w:pPr>
              <w:spacing w:before="0" w:after="60"/>
              <w:keepNext/>
              <w:jc w:val="start"/>
            </w:pPr>
            <w:r>
              <w:rPr>
                <w:rFonts w:ascii="Calibri" w:hAnsi="Calibri"/>
                <w:sz w:val="20"/>
              </w:rPr>
              <w:t xml:space="default">Male</w:t>
            </w:r>
          </w:p>
        </w:tc>
        <w:tc>
          <w:tcPr>
            <w:tcBorders>
              <w:bottom w:val="single" w:sz="16" w:space="0" w:color="D3D3D3"/>
            </w:tcBorders>
          </w:tcPr>
          <w:p>
            <w:pPr>
              <w:spacing w:before="0" w:after="60"/>
              <w:keepNext/>
              <w:jc w:val="start"/>
            </w:pPr>
            <w:r>
              <w:rPr>
                <w:rFonts w:ascii="Calibri" w:hAnsi="Calibri"/>
                <w:sz w:val="20"/>
              </w:rPr>
              <w:t xml:space="default">Female</w:t>
            </w:r>
          </w:p>
        </w:tc>
        <w:tc>
          <w:tcPr>
            <w:tcBorders>
              <w:bottom w:val="single" w:sz="16" w:space="0" w:color="D3D3D3"/>
            </w:tcBorders>
          </w:tcPr>
          <w:p>
            <w:pPr>
              <w:spacing w:before="0" w:after="60"/>
              <w:keepNext/>
              <w:jc w:val="start"/>
            </w:pPr>
            <w:r>
              <w:rPr>
                <w:rFonts w:ascii="Calibri" w:hAnsi="Calibri"/>
                <w:sz w:val="20"/>
              </w:rPr>
              <w:t xml:space="default">Male</w:t>
            </w:r>
          </w:p>
        </w:tc>
        <w:tc>
          <w:tcPr>
            <w:tcBorders>
              <w:bottom w:val="single" w:sz="16" w:space="0" w:color="D3D3D3"/>
              <w:end w:val="single" w:space="0" w:color="D3D3D3"/>
            </w:tcBorders>
          </w:tcPr>
          <w:p>
            <w:pPr>
              <w:spacing w:before="0" w:after="60"/>
              <w:keepNext/>
              <w:jc w:val="start"/>
            </w:pPr>
            <w:r>
              <w:rPr>
                <w:rFonts w:ascii="Calibri" w:hAnsi="Calibri"/>
                <w:sz w:val="20"/>
              </w:rPr>
              <w:t xml:space="default">Female</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7"/>
          </w:tcPr>
          <w:p>
            <w:pPr>
              <w:spacing w:before="0" w:after="60"/>
              <w:keepNext/>
            </w:pPr>
            <w:r>
              <w:rPr>
                <w:rFonts w:ascii="Calibri" w:hAnsi="Calibri"/>
                <w:sz w:val="20"/>
              </w:rPr>
              <w:t xml:space="default">Self Stigma - Job Satisfaction</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Total effect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-0.24 [-0.70, 0.07]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-0.13 [-0.36, 0.12]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-0.15 [-0.51, 0.07]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-0.04 [-0.17, 0.11]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-0.04 [-0.36, 0.16]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0.08 [-0.06, 0.23]</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Direct effect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-0.18 [-0.58, 0.12]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-0.04 [-0.26, 0.18]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-0.07 [-0.42, 0.14]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0.07 [-0.06, 0.19]</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0.03 [-0.27, 0.22]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0.17 [-0.00, 0.33]*</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Indirect effect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-0.06 [-0.28, 0.05]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-0.10 [-0.19, -0.02]*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-0.07 [-0.24, -0.00]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-0.10 [-0.16, -0.06]***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-0.07 [-0.21,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-0.10 [-0.18, -0.03]**</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7"/>
          </w:tcPr>
          <w:p>
            <w:pPr>
              <w:spacing w:before="0" w:after="60"/>
              <w:keepNext/>
            </w:pPr>
            <w:r>
              <w:rPr>
                <w:rFonts w:ascii="Calibri" w:hAnsi="Calibri"/>
                <w:sz w:val="20"/>
              </w:rPr>
              <w:t xml:space="default">Self Stigma - Well being</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Total effect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0.06 [-0.20, 0.45]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-0.16 [-0.37, 0.02]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0.05 [-0.19, 0.37]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-0.17 [-0.29, -0.05]**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0.01 [-0.25, 0.29]</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-0.21 [-0.35, -0.10]***</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Direct effect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0.20 [-0.01, 0.57]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-0.04 [-0.24, 0.14]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0.12 [-0.11, 0.43]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-0.12 [-0.24, -0.00]*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0.04 [-0.23, 0.31]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-0.20 [-0.36, -0.09]**</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Indirect effect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-0.14 [-0.32,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-0.12 [-0.23, -0.05]**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-0.07 [-0.18,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-0.05 [-0.12, -0.00]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-0.03 [-0.12, 0.07]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-0.01 [-0.07, 0.03]</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7"/>
          </w:tcPr>
          <w:p>
            <w:pPr>
              <w:spacing w:before="0" w:after="60"/>
              <w:keepNext/>
            </w:pPr>
            <w:r>
              <w:rPr>
                <w:rFonts w:ascii="Calibri" w:hAnsi="Calibri"/>
                <w:sz w:val="20"/>
              </w:rPr>
              <w:t xml:space="default">Self Stigma - Social Network Stigma</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Direct effect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0.41 [0.16, 0.72]**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0.45 [0.26, 0.61]***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0.31 [0.08, 0.60]*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0.36 [0.20, 0.48]***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0.22 [-0.03, 0.46]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0.27 [0.07, 0.43]***</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7"/>
          </w:tcPr>
          <w:p>
            <w:pPr>
              <w:spacing w:before="0" w:after="60"/>
              <w:keepNext/>
            </w:pPr>
            <w:r>
              <w:rPr>
                <w:rFonts w:ascii="Calibri" w:hAnsi="Calibri"/>
                <w:sz w:val="20"/>
              </w:rPr>
              <w:t xml:space="default">Social Network Stigma - Job Satisfaction</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Direct effect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-0.16 [-0.55, 0.13]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-0.21 [-0.43, -0.04]*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-0.24 [-0.57, -0.02]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-0.29 [-0.43, -0.18]***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-0.31 [-0.69, -0.12]*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-0.37 [-0.52, -0.20]***</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7"/>
          </w:tcPr>
          <w:p>
            <w:pPr>
              <w:spacing w:before="0" w:after="60"/>
              <w:keepNext/>
            </w:pPr>
            <w:r>
              <w:rPr>
                <w:rFonts w:ascii="Calibri" w:hAnsi="Calibri"/>
                <w:sz w:val="20"/>
              </w:rPr>
              <w:t xml:space="default">Social Network Stigma - Well being</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Direct effect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-0.35 [-0.60, -0.07]*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-0.27 [-0.43, -0.12]**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-0.24 [-0.49, 0.04]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-0.15 [-0.28, -0.00]*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-0.12 [-0.40, 0.18]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-0.04 [-0.20, 0.16]</w:t>
            </w:r>
          </w:p>
        </w:tc>
      </w:tr>
      <w:tr>
        <w:trPr>
          <w:cantSplit/>
        </w:trPr>
        <w:tc>
          <w:tcPr>
            <w:gridSpan w:val="7"/>
          </w:tcPr>
          <w:p>
            <w:pPr>
              <w:spacing w:before="0" w:after="60"/>
              <w:keepNext/>
            </w:pPr>
            <w:r>
              <w:rPr>
                <w:rFonts w:ascii="Calibri" w:hAnsi="Calibri"/>
                <w:sz w:val="20"/>
              </w:rPr>
              <w:t xml:space="default">The table shows estimates of the structural equation model estimating moderated mediation model represented in Figure XX. Values are (transformations of) model parameters with their 95% confidence intervals from the bootstrap percentile interval estimated by R function boot::boot.ci(). Mediation effects are estimated for 'Outcome - Predictor' pairs at different levels of moderators Gender (male vs. female) and Age (mean, 48 years old, as well as plus/minus in-sample standard deviation). Statistical tests of the parameters being equal to zero were tested by a z-test implemented in the lavaan R package. *p &lt; .05, **p &lt; .01, ***p &lt; .001.</w:t>
            </w:r>
          </w:p>
        </w:tc>
      </w:tr>
    </w:tbl>
    <w:bookmarkEnd w:id="43"/>
    <w:p>
      <w:r>
        <w:br w:type="page"/>
      </w:r>
    </w:p>
    <w:bookmarkStart w:id="44" w:name="tbl-modcomp"/>
    <w:p>
      <w:pPr>
        <w:pStyle w:val="FigureTitle"/>
      </w:pPr>
      <w:r>
        <w:t xml:space="preserve">Table 6</w:t>
      </w:r>
    </w:p>
    <w:p>
      <w:pPr>
        <w:pStyle w:val="Caption"/>
      </w:pPr>
      <w:r>
        <w:t xml:space="preserve">Fit of the structural cores of the three sets of causal assumptions</w:t>
      </w:r>
    </w:p>
    <w:tbl xmlns:w="http://schemas.openxmlformats.org/wordprocessingml/2006/main" xmlns:wp="http://schemas.openxmlformats.org/drawingml/2006/wordprocessingDrawing" xmlns:r="http://schemas.openxmlformats.org/officeDocument/2006/relationships" xmlns:w14="http://schemas.microsoft.com/office/word/2010/wordml">
      <w:tblPr>
        <w:tblCellMar>
          <w:top w:w="0" w:type="dxa"/>
          <w:bottom w:w="0" w:type="dxa"/>
          <w:start w:w="60" w:type="dxa"/>
          <w:end w:w="60" w:type="dxa"/>
        </w:tblCellMar>
        <w:tblW w:type="auto" w:w="0"/>
        <w:tblLook w:firstRow="0" w:lastRow="0" w:firstColumn="0" w:lastColumn="0" w:noHBand="0" w:noVBand="0"/>
        <w:jc w:val="center"/>
      </w:tblPr>
      <w:tr>
        <w:trPr>
          <w:cantSplit/>
          <w:tblHeader/>
        </w:trPr>
        <w:tc>
          <w:tcPr>
            <w:tcBorders>
              <w:top w:val="single" w:sz="16" w:space="0" w:color="D3D3D3"/>
              <w:bottom w:val="single" w:sz="16" w:space="0" w:color="D3D3D3"/>
              <w:start w:val="single" w:space="0" w:color="D3D3D3"/>
              <w:end w:val="single" w:space="0" w:color="D3D3D3"/>
            </w:tcBorders>
          </w:tcPr>
          <w:p>
            <w:pPr>
              <w:spacing w:before="0" w:after="60"/>
              <w:keepNext/>
              <w:jc w:val="start"/>
            </w:pPr>
            <w:r>
              <w:rPr>
                <w:rFonts w:ascii="Calibri" w:hAnsi="Calibri"/>
                <w:sz w:val="20"/>
              </w:rPr>
              <w:t xml:space="default"/>
            </w:r>
          </w:p>
        </w:tc>
        <w:tc>
          <w:tcPr>
            <w:tcBorders>
              <w:top w:val="single" w:sz="16" w:space="0" w:color="D3D3D3"/>
              <w:bottom w:val="single" w:sz="16" w:space="0" w:color="D3D3D3"/>
              <w:start w:val="single" w:space="0" w:color="D3D3D3"/>
            </w:tcBorders>
          </w:tcPr>
          <w:p>
            <w:pPr>
              <w:spacing w:before="0" w:after="60"/>
              <w:keepNext/>
              <w:jc w:val="start"/>
            </w:pPr>
            <w:r>
              <w:rPr>
                <w:rFonts w:ascii="Calibri" w:hAnsi="Calibri"/>
                <w:sz w:val="20"/>
              </w:rPr>
              <w:t xml:space="default">Assumptions</w:t>
            </w:r>
          </w:p>
        </w:tc>
        <w:tc>
          <w:tcPr>
            <w:tcBorders>
              <w:top w:val="single" w:sz="16" w:space="0" w:color="D3D3D3"/>
              <w:bottom w:val="single" w:sz="16" w:space="0" w:color="D3D3D3"/>
            </w:tcBorders>
          </w:tcPr>
          <w:p>
            <w:pPr>
              <w:spacing w:before="0" w:after="60"/>
              <w:keepNext/>
              <w:jc w:val="end"/>
            </w:pPr>
            <w:r>
              <w:rPr>
                <w:rFonts w:ascii="Calibri" w:hAnsi="Calibri"/>
                <w:sz w:val="20"/>
              </w:rPr>
              <w:t xml:space="default">Parameters</w:t>
            </w:r>
          </w:p>
        </w:tc>
        <w:tc>
          <w:tcPr>
            <w:tcBorders>
              <w:top w:val="single" w:sz="16" w:space="0" w:color="D3D3D3"/>
              <w:bottom w:val="single" w:sz="16" w:space="0" w:color="D3D3D3"/>
            </w:tcBorders>
          </w:tcPr>
          <w:p>
            <w:pPr>
              <w:spacing w:before="0" w:after="60"/>
              <w:keepNext/>
              <w:jc w:val="end"/>
            </w:pPr>
            <w:r>
              <w:rPr>
                <w:rFonts w:ascii="Calibri" w:hAnsi="Calibri"/>
                <w:sz w:val="20"/>
              </w:rPr>
              <w:t xml:space="default">df</w:t>
            </w:r>
          </w:p>
        </w:tc>
        <w:tc>
          <w:tcPr>
            <w:tcBorders>
              <w:top w:val="single" w:sz="16" w:space="0" w:color="D3D3D3"/>
              <w:bottom w:val="single" w:sz="16" w:space="0" w:color="D3D3D3"/>
            </w:tcBorders>
          </w:tcPr>
          <w:p>
            <w:pPr>
              <w:spacing w:before="0" w:after="60"/>
              <w:keepNext/>
              <w:jc w:val="end"/>
            </w:pPr>
            <w:r>
              <w:rPr>
                <w:rFonts w:ascii="Calibri" w:hAnsi="Calibri"/>
                <w:sz w:val="20"/>
              </w:rPr>
              <w:t xml:space="preserve">χ²</w:t>
            </w:r>
          </w:p>
        </w:tc>
        <w:tc>
          <w:tcPr>
            <w:tcBorders>
              <w:top w:val="single" w:sz="16" w:space="0" w:color="D3D3D3"/>
              <w:bottom w:val="single" w:sz="16" w:space="0" w:color="D3D3D3"/>
            </w:tcBorders>
          </w:tcPr>
          <w:p>
            <w:pPr>
              <w:spacing w:before="0" w:after="60"/>
              <w:keepNext/>
              <w:jc w:val="end"/>
            </w:pPr>
            <w:r>
              <w:rPr>
                <w:rFonts w:ascii="Calibri" w:hAnsi="Calibri"/>
                <w:sz w:val="20"/>
              </w:rPr>
              <w:t xml:space="default">Log-likelihood</w:t>
            </w:r>
          </w:p>
        </w:tc>
        <w:tc>
          <w:tcPr>
            <w:tcBorders>
              <w:top w:val="single" w:sz="16" w:space="0" w:color="D3D3D3"/>
              <w:bottom w:val="single" w:sz="16" w:space="0" w:color="D3D3D3"/>
            </w:tcBorders>
          </w:tcPr>
          <w:p>
            <w:pPr>
              <w:spacing w:before="0" w:after="60"/>
              <w:keepNext/>
              <w:jc w:val="end"/>
            </w:pPr>
            <w:r>
              <w:rPr>
                <w:rFonts w:ascii="Calibri" w:hAnsi="Calibri"/>
                <w:sz w:val="20"/>
              </w:rPr>
              <w:t xml:space="default">AIC</w:t>
            </w:r>
          </w:p>
        </w:tc>
        <w:tc>
          <w:tcPr>
            <w:tcBorders>
              <w:top w:val="single" w:sz="16" w:space="0" w:color="D3D3D3"/>
              <w:bottom w:val="single" w:sz="16" w:space="0" w:color="D3D3D3"/>
              <w:end w:val="single" w:space="0" w:color="D3D3D3"/>
            </w:tcBorders>
          </w:tcPr>
          <w:p>
            <w:pPr>
              <w:spacing w:before="0" w:after="60"/>
              <w:keepNext/>
              <w:jc w:val="end"/>
            </w:pPr>
            <w:r>
              <w:rPr>
                <w:rFonts w:ascii="Calibri" w:hAnsi="Calibri"/>
                <w:sz w:val="20"/>
              </w:rPr>
              <w:t xml:space="default">BIC</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Primary</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Well being &amp; Job Satisfaction cause the Stigmas</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-2202.32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4424.64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4464.87</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Reverse</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The Stigmas cause Well being &amp; Job Satisfaction</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-2202.32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4424.64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4464.87</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Confounded</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No causal path, shared unmeasured causes only</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-2202.32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4424.64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4464.87</w:t>
            </w:r>
          </w:p>
        </w:tc>
      </w:tr>
      <w:tr>
        <w:trPr>
          <w:cantSplit/>
        </w:trPr>
        <w:tc>
          <w:tcPr>
            <w:gridSpan w:val="8"/>
          </w:tcPr>
          <w:p>
            <w:pPr>
              <w:spacing w:before="0" w:after="60"/>
              <w:keepNext/>
            </w:pPr>
            <w:r>
              <w:rPr>
                <w:rFonts w:ascii="Calibri" w:hAnsi="Calibri"/>
                <w:sz w:val="20"/>
              </w:rPr>
              <w:t xml:space="default">The table compares the structural cores of the three candidate causal models, i.e., the models with the moderators Age and Gender left out. Each of them is just-identified over the same four variables (zero degrees of freedom) and all three imply exactly the same model-implied covariance matrix. Their fit is therefore identical by construction, which shows that these data cannot arbitrate between the three sets of causal assumptions; the choice between them rests on substantive, not statistical, grounds.</w:t>
            </w:r>
          </w:p>
        </w:tc>
      </w:tr>
    </w:tbl>
    <w:bookmarkEnd w:id="44"/>
    <w:p>
      <w:r>
        <w:br w:type="page"/>
      </w:r>
    </w:p>
    <w:bookmarkStart w:id="45" w:name="tbl-sem-reverse"/>
    <w:p>
      <w:pPr>
        <w:pStyle w:val="FigureTitle"/>
      </w:pPr>
      <w:r>
        <w:t xml:space="preserve">Table 7</w:t>
      </w:r>
    </w:p>
    <w:p>
      <w:pPr>
        <w:pStyle w:val="Caption"/>
      </w:pPr>
      <w:r>
        <w:t xml:space="preserve">Effects derived from the structural equation model assuming that the stigmas cause Job Satisfaction and Well being</w:t>
      </w:r>
    </w:p>
    <w:tbl xmlns:w="http://schemas.openxmlformats.org/wordprocessingml/2006/main" xmlns:wp="http://schemas.openxmlformats.org/drawingml/2006/wordprocessingDrawing" xmlns:r="http://schemas.openxmlformats.org/officeDocument/2006/relationships" xmlns:w14="http://schemas.microsoft.com/office/word/2010/wordml">
      <w:tblPr>
        <w:tblCellMar>
          <w:top w:w="0" w:type="dxa"/>
          <w:bottom w:w="0" w:type="dxa"/>
          <w:start w:w="60" w:type="dxa"/>
          <w:end w:w="60" w:type="dxa"/>
        </w:tblCellMar>
        <w:tblW w:type="auto" w:w="0"/>
        <w:tblLook w:firstRow="0" w:lastRow="0" w:firstColumn="0" w:lastColumn="0" w:noHBand="0" w:noVBand="0"/>
        <w:jc w:val="center"/>
      </w:tblPr>
      <w:tr>
        <w:trPr>
          <w:cantSplit/>
          <w:tblHeader/>
        </w:trPr>
        <w:tc>
          <w:tcPr>
            <w:tcBorders>
              <w:top w:val="single" w:sz="16" w:space="0" w:color="D3D3D3"/>
              <w:start w:val="single" w:space="0" w:color="D3D3D3"/>
              <w:end w:val="single" w:space="0" w:color="D3D3D3"/>
            </w:tcBorders>
            <w:vMerge w:val="restart"/>
            <w:vAlign w:val="bottom"/>
            <w:gridSpan w:val="1"/>
          </w:tcPr>
          <w:p>
            <w:pPr>
              <w:spacing w:before="0" w:after="60"/>
              <w:keepNext/>
              <w:jc w:val="start"/>
            </w:pPr>
            <w:r>
              <w:rPr>
                <w:rFonts w:ascii="Calibri" w:hAnsi="Calibri"/>
                <w:sz w:val="20"/>
              </w:rPr>
              <w:t xml:space="default"/>
            </w:r>
          </w:p>
        </w:tc>
        <w:tc>
          <w:tcPr>
            <w:tcBorders>
              <w:top w:val="single" w:sz="16" w:space="0" w:color="D3D3D3"/>
              <w:bottom w:val="single" w:sz="16" w:space="0" w:color="D3D3D3"/>
              <w:start w:val="single" w:space="0" w:color="D3D3D3"/>
            </w:tcBorders>
            <w:gridSpan w:val="2"/>
          </w:tcPr>
          <w:p>
            <w:pPr>
              <w:spacing w:before="0" w:after="60"/>
              <w:keepNext/>
              <w:jc w:val="center"/>
            </w:pPr>
            <w:r>
              <w:rPr>
                <w:rFonts w:ascii="Calibri" w:hAnsi="Calibri"/>
                <w:sz w:val="20"/>
              </w:rPr>
              <w:t xml:space="default">38 years old</w:t>
            </w:r>
          </w:p>
        </w:tc>
        <w:tc>
          <w:tcPr>
            <w:tcBorders>
              <w:top w:val="single" w:sz="16" w:space="0" w:color="D3D3D3"/>
              <w:bottom w:val="single" w:sz="16" w:space="0" w:color="D3D3D3"/>
            </w:tcBorders>
            <w:gridSpan w:val="2"/>
          </w:tcPr>
          <w:p>
            <w:pPr>
              <w:spacing w:before="0" w:after="60"/>
              <w:keepNext/>
              <w:jc w:val="center"/>
            </w:pPr>
            <w:r>
              <w:rPr>
                <w:rFonts w:ascii="Calibri" w:hAnsi="Calibri"/>
                <w:sz w:val="20"/>
              </w:rPr>
              <w:t xml:space="default">48 years old</w:t>
            </w:r>
          </w:p>
        </w:tc>
        <w:tc>
          <w:tcPr>
            <w:tcBorders>
              <w:top w:val="single" w:sz="16" w:space="0" w:color="D3D3D3"/>
              <w:bottom w:val="single" w:sz="16" w:space="0" w:color="D3D3D3"/>
              <w:end w:val="single" w:space="0" w:color="D3D3D3"/>
            </w:tcBorders>
            <w:gridSpan w:val="2"/>
          </w:tcPr>
          <w:p>
            <w:pPr>
              <w:spacing w:before="0" w:after="60"/>
              <w:keepNext/>
              <w:jc w:val="center"/>
            </w:pPr>
            <w:r>
              <w:rPr>
                <w:rFonts w:ascii="Calibri" w:hAnsi="Calibri"/>
                <w:sz w:val="20"/>
              </w:rPr>
              <w:t xml:space="default">58 years old</w:t>
            </w:r>
          </w:p>
        </w:tc>
      </w:tr>
      <w:tr>
        <w:trPr>
          <w:cantSplit/>
          <w:tblHeader/>
        </w:trPr>
        <w:tc>
          <w:tcPr>
            <w:tcBorders>
              <w:bottom w:val="single" w:sz="16" w:space="0" w:color="D3D3D3"/>
              <w:start w:val="single" w:space="0" w:color="D3D3D3"/>
              <w:end w:val="single" w:space="0" w:color="D3D3D3"/>
            </w:tcBorders>
            <w:vMerge w:val="continue"/>
          </w:tcPr>
          <w:p>
            <w:pPr>
              <w:spacing w:before="0" w:after="60"/>
              <w:keepNext/>
            </w:pPr>
            <w:r>
              <w:rPr>
                <w:rFonts w:ascii="Calibri" w:hAnsi="Calibri"/>
                <w:sz w:val="20"/>
              </w:rPr>
              <w:t xml:space="default"/>
            </w:r>
          </w:p>
        </w:tc>
        <w:tc>
          <w:tcPr>
            <w:tcBorders>
              <w:bottom w:val="single" w:sz="16" w:space="0" w:color="D3D3D3"/>
              <w:start w:val="single" w:space="0" w:color="D3D3D3"/>
            </w:tcBorders>
          </w:tcPr>
          <w:p>
            <w:pPr>
              <w:spacing w:before="0" w:after="60"/>
              <w:keepNext/>
              <w:jc w:val="start"/>
            </w:pPr>
            <w:r>
              <w:rPr>
                <w:rFonts w:ascii="Calibri" w:hAnsi="Calibri"/>
                <w:sz w:val="20"/>
              </w:rPr>
              <w:t xml:space="default">Male</w:t>
            </w:r>
          </w:p>
        </w:tc>
        <w:tc>
          <w:tcPr>
            <w:tcBorders>
              <w:bottom w:val="single" w:sz="16" w:space="0" w:color="D3D3D3"/>
            </w:tcBorders>
          </w:tcPr>
          <w:p>
            <w:pPr>
              <w:spacing w:before="0" w:after="60"/>
              <w:keepNext/>
              <w:jc w:val="start"/>
            </w:pPr>
            <w:r>
              <w:rPr>
                <w:rFonts w:ascii="Calibri" w:hAnsi="Calibri"/>
                <w:sz w:val="20"/>
              </w:rPr>
              <w:t xml:space="default">Female</w:t>
            </w:r>
          </w:p>
        </w:tc>
        <w:tc>
          <w:tcPr>
            <w:tcBorders>
              <w:bottom w:val="single" w:sz="16" w:space="0" w:color="D3D3D3"/>
            </w:tcBorders>
          </w:tcPr>
          <w:p>
            <w:pPr>
              <w:spacing w:before="0" w:after="60"/>
              <w:keepNext/>
              <w:jc w:val="start"/>
            </w:pPr>
            <w:r>
              <w:rPr>
                <w:rFonts w:ascii="Calibri" w:hAnsi="Calibri"/>
                <w:sz w:val="20"/>
              </w:rPr>
              <w:t xml:space="default">Male</w:t>
            </w:r>
          </w:p>
        </w:tc>
        <w:tc>
          <w:tcPr>
            <w:tcBorders>
              <w:bottom w:val="single" w:sz="16" w:space="0" w:color="D3D3D3"/>
            </w:tcBorders>
          </w:tcPr>
          <w:p>
            <w:pPr>
              <w:spacing w:before="0" w:after="60"/>
              <w:keepNext/>
              <w:jc w:val="start"/>
            </w:pPr>
            <w:r>
              <w:rPr>
                <w:rFonts w:ascii="Calibri" w:hAnsi="Calibri"/>
                <w:sz w:val="20"/>
              </w:rPr>
              <w:t xml:space="default">Female</w:t>
            </w:r>
          </w:p>
        </w:tc>
        <w:tc>
          <w:tcPr>
            <w:tcBorders>
              <w:bottom w:val="single" w:sz="16" w:space="0" w:color="D3D3D3"/>
            </w:tcBorders>
          </w:tcPr>
          <w:p>
            <w:pPr>
              <w:spacing w:before="0" w:after="60"/>
              <w:keepNext/>
              <w:jc w:val="start"/>
            </w:pPr>
            <w:r>
              <w:rPr>
                <w:rFonts w:ascii="Calibri" w:hAnsi="Calibri"/>
                <w:sz w:val="20"/>
              </w:rPr>
              <w:t xml:space="default">Male</w:t>
            </w:r>
          </w:p>
        </w:tc>
        <w:tc>
          <w:tcPr>
            <w:tcBorders>
              <w:bottom w:val="single" w:sz="16" w:space="0" w:color="D3D3D3"/>
              <w:end w:val="single" w:space="0" w:color="D3D3D3"/>
            </w:tcBorders>
          </w:tcPr>
          <w:p>
            <w:pPr>
              <w:spacing w:before="0" w:after="60"/>
              <w:keepNext/>
              <w:jc w:val="start"/>
            </w:pPr>
            <w:r>
              <w:rPr>
                <w:rFonts w:ascii="Calibri" w:hAnsi="Calibri"/>
                <w:sz w:val="20"/>
              </w:rPr>
              <w:t xml:space="default">Female</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7"/>
          </w:tcPr>
          <w:p>
            <w:pPr>
              <w:spacing w:before="0" w:after="60"/>
              <w:keepNext/>
            </w:pPr>
            <w:r>
              <w:rPr>
                <w:rFonts w:ascii="Calibri" w:hAnsi="Calibri"/>
                <w:sz w:val="20"/>
              </w:rPr>
              <w:t xml:space="default">Self Stigma - Social Network Stigma</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Direct effect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0.41 [0.17, 0.65]***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0.47 [0.34, 0.62]***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0.30 [0.06, 0.55]**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0.36 [0.22, 0.48]***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0.19 [-0.08, 0.47]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0.25 [0.04, 0.40]**</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7"/>
          </w:tcPr>
          <w:p>
            <w:pPr>
              <w:spacing w:before="0" w:after="60"/>
              <w:keepNext/>
            </w:pPr>
            <w:r>
              <w:rPr>
                <w:rFonts w:ascii="Calibri" w:hAnsi="Calibri"/>
                <w:sz w:val="20"/>
              </w:rPr>
              <w:t xml:space="default">Job Satisfaction - Social Network Stigma</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Total effect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-0.31 [-0.47, -0.08]**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-0.33 [-0.44, -0.20]***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-0.37 [-0.55, -0.17]***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-0.39 [-0.52, -0.28]***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-0.44 [-0.65, -0.23]***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-0.46 [-0.63, -0.32]***</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Direct effect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-0.29 [-0.58,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-0.31 [-0.46, -0.17]***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-0.37 [-0.62, -0.11]**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-0.39 [-0.50, -0.28]***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-0.45 [-0.69, -0.17]***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-0.47 [-0.63, -0.31]***</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Indirect effect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-0.02 [-0.17, 0.14]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-0.01 [-0.08, 0.06]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-0.00 [-0.11, 0.10]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0.00 [-0.06, 0.05]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0.01 [-0.07, 0.09]</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0.01 [-0.05, 0.05]</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7"/>
          </w:tcPr>
          <w:p>
            <w:pPr>
              <w:spacing w:before="0" w:after="60"/>
              <w:keepNext/>
            </w:pPr>
            <w:r>
              <w:rPr>
                <w:rFonts w:ascii="Calibri" w:hAnsi="Calibri"/>
                <w:sz w:val="20"/>
              </w:rPr>
              <w:t xml:space="default">Job Satisfaction - Self Stigma</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Direct effect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-0.05 [-0.33, 0.37]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-0.03 [-0.16, 0.11]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-0.00 [-0.34, 0.35]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0.01 [-0.16, 0.12]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0.04 [-0.36, 0.35]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0.06 [-0.22, 0.19]</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7"/>
          </w:tcPr>
          <w:p>
            <w:pPr>
              <w:spacing w:before="0" w:after="60"/>
              <w:keepNext/>
            </w:pPr>
            <w:r>
              <w:rPr>
                <w:rFonts w:ascii="Calibri" w:hAnsi="Calibri"/>
                <w:sz w:val="20"/>
              </w:rPr>
              <w:t xml:space="default">Well being - Social Network Stigma</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Total effect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-0.37 [-0.64, -0.11]**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-0.35 [-0.51, -0.24]***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-0.34 [-0.55, -0.15]***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-0.31 [-0.43, -0.22]***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-0.30 [-0.55, -0.08]**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-0.26 [-0.44, -0.11]**</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Direct effect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-0.40 [-0.65, -0.08]**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-0.33 [-0.48, -0.19]***</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-0.35 [-0.55, -0.13]**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-0.28 [-0.42, -0.18]***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-0.30 [-0.54, -0.05]*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-0.23 [-0.41, -0.05]*</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Indirect effect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0.03 [-0.08, 0.17]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-0.02 [-0.08, 0.06]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0.01 [-0.08, 0.12]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-0.03 [-0.09,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-0.00 [-0.10, 0.09]</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-0.03 [-0.12, 0.00]</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7"/>
          </w:tcPr>
          <w:p>
            <w:pPr>
              <w:spacing w:before="0" w:after="60"/>
              <w:keepNext/>
            </w:pPr>
            <w:r>
              <w:rPr>
                <w:rFonts w:ascii="Calibri" w:hAnsi="Calibri"/>
                <w:sz w:val="20"/>
              </w:rPr>
              <w:t xml:space="default">Well being - Self Stigma</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Direct effect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0.08 [-0.18, 0.48]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-0.05 [-0.17, 0.12]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0.04 [-0.23, 0.37]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-0.09 [-0.22, 0.03]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-0.01 [-0.32, 0.28]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-0.14 [-0.36, 0.01]</w:t>
            </w:r>
          </w:p>
        </w:tc>
      </w:tr>
      <w:tr>
        <w:trPr>
          <w:cantSplit/>
        </w:trPr>
        <w:tc>
          <w:tcPr>
            <w:gridSpan w:val="7"/>
          </w:tcPr>
          <w:p>
            <w:pPr>
              <w:spacing w:before="0" w:after="60"/>
              <w:keepNext/>
            </w:pPr>
            <w:r>
              <w:rPr>
                <w:rFonts w:ascii="Calibri" w:hAnsi="Calibri"/>
                <w:sz w:val="20"/>
              </w:rPr>
              <w:t xml:space="default">The table shows estimates of the structural equation model representing the 'reverse' causal assumptions of Figure XX, i.e., a moderated mediation of the effect of Public Stigma on Job Satisfaction and Well being via Self Stigma. Values are (transformations of) model parameters with their 95% confidence intervals from the bootstrap percentile interval estimated by R function boot::boot.ci(). Effects are estimated for 'Outcome - Predictor' pairs at different levels of moderators Gender (male vs. female) and Age (mean as well as plus/minus in-sample standard deviation). Statistical tests of the parameters being equal to zero were tested by a z-test implemented in the lavaan R package. *p &lt; .05, **p &lt; .01, ***p &lt; .001.</w:t>
            </w:r>
          </w:p>
        </w:tc>
      </w:tr>
    </w:tbl>
    <w:bookmarkEnd w:id="45"/>
    <w:p>
      <w:r>
        <w:br w:type="page"/>
      </w:r>
    </w:p>
    <w:bookmarkStart w:id="46" w:name="tbl-cor-reverse"/>
    <w:p>
      <w:pPr>
        <w:pStyle w:val="FigureTitle"/>
      </w:pPr>
      <w:r>
        <w:t xml:space="preserve">Table 8</w:t>
      </w:r>
    </w:p>
    <w:p>
      <w:pPr>
        <w:pStyle w:val="Caption"/>
      </w:pPr>
      <w:r>
        <w:t xml:space="preserve">Residual correlations implied by the model assuming that the stigmas cause Job Satisfaction and Well being</w:t>
      </w:r>
    </w:p>
    <w:tbl xmlns:w="http://schemas.openxmlformats.org/wordprocessingml/2006/main" xmlns:wp="http://schemas.openxmlformats.org/drawingml/2006/wordprocessingDrawing" xmlns:r="http://schemas.openxmlformats.org/officeDocument/2006/relationships" xmlns:w14="http://schemas.microsoft.com/office/word/2010/wordml">
      <w:tblPr>
        <w:tblCellMar>
          <w:top w:w="0" w:type="dxa"/>
          <w:bottom w:w="0" w:type="dxa"/>
          <w:start w:w="60" w:type="dxa"/>
          <w:end w:w="60" w:type="dxa"/>
        </w:tblCellMar>
        <w:tblW w:type="auto" w:w="0"/>
        <w:tblLook w:firstRow="0" w:lastRow="0" w:firstColumn="0" w:lastColumn="0" w:noHBand="0" w:noVBand="0"/>
        <w:jc w:val="center"/>
      </w:tblPr>
      <w:tr>
        <w:trPr>
          <w:cantSplit/>
          <w:tblHeader/>
        </w:trPr>
        <w:tc>
          <w:tcPr>
            <w:tcBorders>
              <w:top w:val="single" w:sz="16" w:space="0" w:color="D3D3D3"/>
              <w:bottom w:val="single" w:sz="16" w:space="0" w:color="D3D3D3"/>
              <w:start w:val="single" w:space="0" w:color="D3D3D3"/>
            </w:tcBorders>
          </w:tcPr>
          <w:p>
            <w:pPr>
              <w:spacing w:before="0" w:after="60"/>
              <w:keepNext/>
              <w:jc w:val="start"/>
            </w:pPr>
            <w:r>
              <w:rPr>
                <w:rFonts w:ascii="Calibri" w:hAnsi="Calibri"/>
                <w:sz w:val="20"/>
              </w:rPr>
              <w:t xml:space="default">Variable 1</w:t>
            </w:r>
          </w:p>
        </w:tc>
        <w:tc>
          <w:tcPr>
            <w:tcBorders>
              <w:top w:val="single" w:sz="16" w:space="0" w:color="D3D3D3"/>
              <w:bottom w:val="single" w:sz="16" w:space="0" w:color="D3D3D3"/>
            </w:tcBorders>
          </w:tcPr>
          <w:p>
            <w:pPr>
              <w:spacing w:before="0" w:after="60"/>
              <w:keepNext/>
              <w:jc w:val="start"/>
            </w:pPr>
            <w:r>
              <w:rPr>
                <w:rFonts w:ascii="Calibri" w:hAnsi="Calibri"/>
                <w:sz w:val="20"/>
              </w:rPr>
              <w:t xml:space="default">Variable 2</w:t>
            </w:r>
          </w:p>
        </w:tc>
        <w:tc>
          <w:tcPr>
            <w:tcBorders>
              <w:top w:val="single" w:sz="16" w:space="0" w:color="D3D3D3"/>
              <w:bottom w:val="single" w:sz="16" w:space="0" w:color="D3D3D3"/>
            </w:tcBorders>
          </w:tcPr>
          <w:p>
            <w:pPr>
              <w:spacing w:before="0" w:after="60"/>
              <w:keepNext/>
              <w:jc w:val="start"/>
            </w:pPr>
            <w:r>
              <w:rPr>
                <w:rFonts w:ascii="Calibri" w:hAnsi="Calibri"/>
                <w:sz w:val="20"/>
              </w:rPr>
              <w:t xml:space="default">Residual correlation</w:t>
            </w:r>
          </w:p>
        </w:tc>
        <w:tc>
          <w:tcPr>
            <w:tcBorders>
              <w:top w:val="single" w:sz="16" w:space="0" w:color="D3D3D3"/>
              <w:bottom w:val="single" w:sz="16" w:space="0" w:color="D3D3D3"/>
              <w:end w:val="single" w:space="0" w:color="D3D3D3"/>
            </w:tcBorders>
          </w:tcPr>
          <w:p>
            <w:pPr>
              <w:spacing w:before="0" w:after="60"/>
              <w:keepNext/>
              <w:jc w:val="start"/>
            </w:pPr>
            <w:r>
              <w:rPr>
                <w:rFonts w:ascii="Calibri" w:hAnsi="Calibri"/>
                <w:sz w:val="20"/>
              </w:rPr>
              <w:t xml:space="default">p-value</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Job Satisfaction</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Well being</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0.50 [0.41, 0.57]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&lt; .001</w:t>
            </w:r>
          </w:p>
        </w:tc>
      </w:tr>
      <w:tr>
        <w:trPr>
          <w:cantSplit/>
        </w:trPr>
        <w:tc>
          <w:tcPr>
            <w:gridSpan w:val="4"/>
          </w:tcPr>
          <w:p>
            <w:pPr>
              <w:spacing w:before="0" w:after="60"/>
              <w:keepNext/>
            </w:pPr>
            <w:r>
              <w:rPr>
                <w:rFonts w:ascii="Calibri" w:hAnsi="Calibri"/>
                <w:sz w:val="20"/>
              </w:rPr>
              <w:t xml:space="default">Residual correlations represent the associations that remain after adjusting for Age and Gender and for the causal paths included in the model. Under the assumed causal structure they are generated by unmeasured common causes of the two variables. Values are taken from the completely standardised solution with 95% confidence intervals obtained by the delta method; p-values come from a z-test implemented in the lavaan R package.</w:t>
            </w:r>
          </w:p>
        </w:tc>
      </w:tr>
    </w:tbl>
    <w:bookmarkEnd w:id="46"/>
    <w:p>
      <w:r>
        <w:br w:type="page"/>
      </w:r>
    </w:p>
    <w:bookmarkStart w:id="47" w:name="tbl-sem-confounded"/>
    <w:p>
      <w:pPr>
        <w:pStyle w:val="FigureTitle"/>
      </w:pPr>
      <w:r>
        <w:t xml:space="preserve">Table 9</w:t>
      </w:r>
    </w:p>
    <w:p>
      <w:pPr>
        <w:pStyle w:val="Caption"/>
      </w:pPr>
      <w:r>
        <w:t xml:space="preserve">Conditional effect of Social Network Stigma on Self Stigma implied by the model assuming unmeasured common causes</w:t>
      </w:r>
    </w:p>
    <w:tbl xmlns:w="http://schemas.openxmlformats.org/wordprocessingml/2006/main" xmlns:wp="http://schemas.openxmlformats.org/drawingml/2006/wordprocessingDrawing" xmlns:r="http://schemas.openxmlformats.org/officeDocument/2006/relationships" xmlns:w14="http://schemas.microsoft.com/office/word/2010/wordml">
      <w:tblPr>
        <w:tblCellMar>
          <w:top w:w="0" w:type="dxa"/>
          <w:bottom w:w="0" w:type="dxa"/>
          <w:start w:w="60" w:type="dxa"/>
          <w:end w:w="60" w:type="dxa"/>
        </w:tblCellMar>
        <w:tblW w:type="auto" w:w="0"/>
        <w:tblLook w:firstRow="0" w:lastRow="0" w:firstColumn="0" w:lastColumn="0" w:noHBand="0" w:noVBand="0"/>
        <w:jc w:val="center"/>
      </w:tblPr>
      <w:tr>
        <w:trPr>
          <w:cantSplit/>
          <w:tblHeader/>
        </w:trPr>
        <w:tc>
          <w:tcPr>
            <w:tcBorders>
              <w:top w:val="single" w:sz="16" w:space="0" w:color="D3D3D3"/>
              <w:start w:val="single" w:space="0" w:color="D3D3D3"/>
              <w:end w:val="single" w:space="0" w:color="D3D3D3"/>
            </w:tcBorders>
            <w:vMerge w:val="restart"/>
            <w:vAlign w:val="bottom"/>
            <w:gridSpan w:val="1"/>
          </w:tcPr>
          <w:p>
            <w:pPr>
              <w:spacing w:before="0" w:after="60"/>
              <w:keepNext/>
              <w:jc w:val="start"/>
            </w:pPr>
            <w:r>
              <w:rPr>
                <w:rFonts w:ascii="Calibri" w:hAnsi="Calibri"/>
                <w:sz w:val="20"/>
              </w:rPr>
              <w:t xml:space="default">Gender</w:t>
            </w:r>
          </w:p>
        </w:tc>
        <w:tc>
          <w:tcPr>
            <w:tcBorders>
              <w:top w:val="single" w:sz="16" w:space="0" w:color="D3D3D3"/>
              <w:bottom w:val="single" w:sz="16" w:space="0" w:color="D3D3D3"/>
              <w:start w:val="single" w:space="0" w:color="D3D3D3"/>
              <w:end w:val="single" w:space="0" w:color="D3D3D3"/>
            </w:tcBorders>
            <w:gridSpan w:val="3"/>
          </w:tcPr>
          <w:p>
            <w:pPr>
              <w:spacing w:before="0" w:after="60"/>
              <w:keepNext/>
              <w:jc w:val="center"/>
            </w:pPr>
            <w:r>
              <w:rPr>
                <w:rFonts w:ascii="Calibri" w:hAnsi="Calibri"/>
                <w:sz w:val="20"/>
              </w:rPr>
              <w:t xml:space="default">Age (years)</w:t>
            </w:r>
          </w:p>
        </w:tc>
      </w:tr>
      <w:tr>
        <w:trPr>
          <w:cantSplit/>
          <w:tblHeader/>
        </w:trPr>
        <w:tc>
          <w:tcPr>
            <w:tcBorders>
              <w:bottom w:val="single" w:sz="16" w:space="0" w:color="D3D3D3"/>
              <w:start w:val="single" w:space="0" w:color="D3D3D3"/>
              <w:end w:val="single" w:space="0" w:color="D3D3D3"/>
            </w:tcBorders>
            <w:vMerge w:val="continue"/>
          </w:tcPr>
          <w:p>
            <w:pPr>
              <w:spacing w:before="0" w:after="60"/>
              <w:keepNext/>
            </w:pPr>
            <w:r>
              <w:rPr>
                <w:rFonts w:ascii="Calibri" w:hAnsi="Calibri"/>
                <w:sz w:val="20"/>
              </w:rPr>
              <w:t xml:space="default"/>
            </w:r>
          </w:p>
        </w:tc>
        <w:tc>
          <w:tcPr>
            <w:tcBorders>
              <w:bottom w:val="single" w:sz="16" w:space="0" w:color="D3D3D3"/>
              <w:start w:val="single" w:space="0" w:color="D3D3D3"/>
            </w:tcBorders>
          </w:tcPr>
          <w:p>
            <w:pPr>
              <w:spacing w:before="0" w:after="60"/>
              <w:keepNext/>
              <w:jc w:val="start"/>
            </w:pPr>
            <w:r>
              <w:rPr>
                <w:rFonts w:ascii="Calibri" w:hAnsi="Calibri"/>
                <w:sz w:val="20"/>
              </w:rPr>
              <w:t xml:space="default">38</w:t>
            </w:r>
          </w:p>
        </w:tc>
        <w:tc>
          <w:tcPr>
            <w:tcBorders>
              <w:bottom w:val="single" w:sz="16" w:space="0" w:color="D3D3D3"/>
            </w:tcBorders>
          </w:tcPr>
          <w:p>
            <w:pPr>
              <w:spacing w:before="0" w:after="60"/>
              <w:keepNext/>
              <w:jc w:val="start"/>
            </w:pPr>
            <w:r>
              <w:rPr>
                <w:rFonts w:ascii="Calibri" w:hAnsi="Calibri"/>
                <w:sz w:val="20"/>
              </w:rPr>
              <w:t xml:space="default">48</w:t>
            </w:r>
          </w:p>
        </w:tc>
        <w:tc>
          <w:tcPr>
            <w:tcBorders>
              <w:bottom w:val="single" w:sz="16" w:space="0" w:color="D3D3D3"/>
              <w:end w:val="single" w:space="0" w:color="D3D3D3"/>
            </w:tcBorders>
          </w:tcPr>
          <w:p>
            <w:pPr>
              <w:spacing w:before="0" w:after="60"/>
              <w:keepNext/>
              <w:jc w:val="start"/>
            </w:pPr>
            <w:r>
              <w:rPr>
                <w:rFonts w:ascii="Calibri" w:hAnsi="Calibri"/>
                <w:sz w:val="20"/>
              </w:rPr>
              <w:t xml:space="default">58</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Male</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0.40 [0.15, 0.66]**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0.29 [0.03, 0.51]*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0.19 [-0.07, 0.41]</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Female</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0.46 [0.31, 0.62]***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0.36 [0.22, 0.49]***</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0.26 [0.11, 0.39]***</w:t>
            </w:r>
          </w:p>
        </w:tc>
      </w:tr>
      <w:tr>
        <w:trPr>
          <w:cantSplit/>
        </w:trPr>
        <w:tc>
          <w:tcPr>
            <w:gridSpan w:val="4"/>
          </w:tcPr>
          <w:p>
            <w:pPr>
              <w:spacing w:before="0" w:after="60"/>
              <w:keepNext/>
            </w:pPr>
            <w:r>
              <w:rPr>
                <w:rFonts w:ascii="Calibri" w:hAnsi="Calibri"/>
                <w:sz w:val="20"/>
              </w:rPr>
              <w:t xml:space="default">The table shows the conditional causal effect of Social Network Stigma on Self Stigma implied by the structural equation model representing the 'confounded' causal assumptions of Figure XX. Because neither Well being nor Job Satisfaction lies on a causal path between the two stigmas under these assumptions, they are not adjusted for. Values are model parameters with their 95% confidence intervals from the bootstrap percentile interval estimated by R function boot::boot.ci(). Statistical tests of the parameters being equal to zero were tested by a z-test implemented in the lavaan R package. *p &lt; .05, **p &lt; .01, ***p &lt; .001.</w:t>
            </w:r>
          </w:p>
        </w:tc>
      </w:tr>
    </w:tbl>
    <w:bookmarkEnd w:id="47"/>
    <w:p>
      <w:r>
        <w:br w:type="page"/>
      </w:r>
    </w:p>
    <w:bookmarkStart w:id="48" w:name="tbl-cor-confounded"/>
    <w:p>
      <w:pPr>
        <w:pStyle w:val="FigureTitle"/>
      </w:pPr>
      <w:r>
        <w:t xml:space="preserve">Table 10</w:t>
      </w:r>
    </w:p>
    <w:p>
      <w:pPr>
        <w:pStyle w:val="Caption"/>
      </w:pPr>
      <w:r>
        <w:t xml:space="preserve">Residual correlations standing in for the unmeasured common causes</w:t>
      </w:r>
    </w:p>
    <w:tbl xmlns:w="http://schemas.openxmlformats.org/wordprocessingml/2006/main" xmlns:wp="http://schemas.openxmlformats.org/drawingml/2006/wordprocessingDrawing" xmlns:r="http://schemas.openxmlformats.org/officeDocument/2006/relationships" xmlns:w14="http://schemas.microsoft.com/office/word/2010/wordml">
      <w:tblPr>
        <w:tblCellMar>
          <w:top w:w="0" w:type="dxa"/>
          <w:bottom w:w="0" w:type="dxa"/>
          <w:start w:w="60" w:type="dxa"/>
          <w:end w:w="60" w:type="dxa"/>
        </w:tblCellMar>
        <w:tblW w:type="auto" w:w="0"/>
        <w:tblLook w:firstRow="0" w:lastRow="0" w:firstColumn="0" w:lastColumn="0" w:noHBand="0" w:noVBand="0"/>
        <w:jc w:val="center"/>
      </w:tblPr>
      <w:tr>
        <w:trPr>
          <w:cantSplit/>
          <w:tblHeader/>
        </w:trPr>
        <w:tc>
          <w:tcPr>
            <w:tcBorders>
              <w:top w:val="single" w:sz="16" w:space="0" w:color="D3D3D3"/>
              <w:bottom w:val="single" w:sz="16" w:space="0" w:color="D3D3D3"/>
              <w:start w:val="single" w:space="0" w:color="D3D3D3"/>
            </w:tcBorders>
          </w:tcPr>
          <w:p>
            <w:pPr>
              <w:spacing w:before="0" w:after="60"/>
              <w:keepNext/>
              <w:jc w:val="start"/>
            </w:pPr>
            <w:r>
              <w:rPr>
                <w:rFonts w:ascii="Calibri" w:hAnsi="Calibri"/>
                <w:sz w:val="20"/>
              </w:rPr>
              <w:t xml:space="default">Variable 1</w:t>
            </w:r>
          </w:p>
        </w:tc>
        <w:tc>
          <w:tcPr>
            <w:tcBorders>
              <w:top w:val="single" w:sz="16" w:space="0" w:color="D3D3D3"/>
              <w:bottom w:val="single" w:sz="16" w:space="0" w:color="D3D3D3"/>
            </w:tcBorders>
          </w:tcPr>
          <w:p>
            <w:pPr>
              <w:spacing w:before="0" w:after="60"/>
              <w:keepNext/>
              <w:jc w:val="start"/>
            </w:pPr>
            <w:r>
              <w:rPr>
                <w:rFonts w:ascii="Calibri" w:hAnsi="Calibri"/>
                <w:sz w:val="20"/>
              </w:rPr>
              <w:t xml:space="default">Variable 2</w:t>
            </w:r>
          </w:p>
        </w:tc>
        <w:tc>
          <w:tcPr>
            <w:tcBorders>
              <w:top w:val="single" w:sz="16" w:space="0" w:color="D3D3D3"/>
              <w:bottom w:val="single" w:sz="16" w:space="0" w:color="D3D3D3"/>
            </w:tcBorders>
          </w:tcPr>
          <w:p>
            <w:pPr>
              <w:spacing w:before="0" w:after="60"/>
              <w:keepNext/>
              <w:jc w:val="start"/>
            </w:pPr>
            <w:r>
              <w:rPr>
                <w:rFonts w:ascii="Calibri" w:hAnsi="Calibri"/>
                <w:sz w:val="20"/>
              </w:rPr>
              <w:t xml:space="default">Residual correlation</w:t>
            </w:r>
          </w:p>
        </w:tc>
        <w:tc>
          <w:tcPr>
            <w:tcBorders>
              <w:top w:val="single" w:sz="16" w:space="0" w:color="D3D3D3"/>
              <w:bottom w:val="single" w:sz="16" w:space="0" w:color="D3D3D3"/>
              <w:end w:val="single" w:space="0" w:color="D3D3D3"/>
            </w:tcBorders>
          </w:tcPr>
          <w:p>
            <w:pPr>
              <w:spacing w:before="0" w:after="60"/>
              <w:keepNext/>
              <w:jc w:val="start"/>
            </w:pPr>
            <w:r>
              <w:rPr>
                <w:rFonts w:ascii="Calibri" w:hAnsi="Calibri"/>
                <w:sz w:val="20"/>
              </w:rPr>
              <w:t xml:space="default">p-value</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Self Stigma</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Job Satisfaction</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0.01 [-0.10, 0.12]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.884</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Self Stigma</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Well being</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-0.07 [-0.17, 0.03]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.179</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Social Network Stigma</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Job Satisfaction</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-0.38 [-0.46, -0.31]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&lt; .001</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Social Network Stigma</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Well being</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-0.32 [-0.42, -0.24]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&lt; .001</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Job Satisfaction</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Well being</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0.55 [0.47, 0.62]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&lt; .001</w:t>
            </w:r>
          </w:p>
        </w:tc>
      </w:tr>
      <w:tr>
        <w:trPr>
          <w:cantSplit/>
        </w:trPr>
        <w:tc>
          <w:tcPr>
            <w:gridSpan w:val="4"/>
          </w:tcPr>
          <w:p>
            <w:pPr>
              <w:spacing w:before="0" w:after="60"/>
              <w:keepNext/>
            </w:pPr>
            <w:r>
              <w:rPr>
                <w:rFonts w:ascii="Calibri" w:hAnsi="Calibri"/>
                <w:sz w:val="20"/>
              </w:rPr>
              <w:t xml:space="default">Residual correlations represent the associations that remain after adjusting for Age and Gender and for the causal paths included in the model. Under the assumed causal structure they are generated by unmeasured common causes of the two variables. Values are taken from the completely standardised solution with 95% confidence intervals obtained by the delta method; p-values come from a z-test implemented in the lavaan R package.</w:t>
            </w:r>
          </w:p>
        </w:tc>
      </w:tr>
    </w:tbl>
    <w:bookmarkEnd w:id="48"/>
    <w:p>
      <w:r>
        <w:br w:type="page"/>
      </w:r>
    </w:p>
    <w:bookmarkStart w:id="52" w:name="fig-dag"/>
    <w:p>
      <w:pPr>
        <w:pStyle w:val="FigureTitle"/>
      </w:pPr>
      <w:r>
        <w:t xml:space="preserve">Figure 1</w:t>
      </w:r>
    </w:p>
    <w:p>
      <w:pPr>
        <w:pStyle w:val="Caption"/>
      </w:pPr>
      <w:r>
        <w:t xml:space="preserve">Assumed causal relations between observed variables represented by a directed acyclic graph.</w:t>
      </w:r>
    </w:p>
    <w:p>
      <w:pPr>
        <w:pStyle w:val="FigureWithoutNote"/>
      </w:pPr>
      <w:r>
        <w:drawing>
          <wp:inline>
            <wp:extent cx="5943600" cy="3962400"/>
            <wp:effectExtent b="0" l="0" r="0" t="0"/>
            <wp:docPr descr="" title="" id="50" name="Picture"/>
            <a:graphic>
              <a:graphicData uri="http://schemas.openxmlformats.org/drawingml/2006/picture">
                <pic:pic>
                  <pic:nvPicPr>
                    <pic:cNvPr descr="../projects/wellbeing/figures/DAG.jpg" id="51" name="Picture"/>
                    <pic:cNvPicPr>
                      <a:picLocks noChangeArrowheads="1" noChangeAspect="1"/>
                    </pic:cNvPicPr>
                  </pic:nvPicPr>
                  <pic:blipFill>
                    <a:blip r:embed="rId49"/>
                    <a:stretch>
                      <a:fillRect/>
                    </a:stretch>
                  </pic:blipFill>
                  <pic:spPr bwMode="auto">
                    <a:xfrm>
                      <a:off x="0" y="0"/>
                      <a:ext cx="5943600" cy="3962400"/>
                    </a:xfrm>
                    <a:prstGeom prst="rect">
                      <a:avLst/>
                    </a:prstGeom>
                    <a:noFill/>
                    <a:ln w="9525">
                      <a:noFill/>
                      <a:headEnd/>
                      <a:tailEnd/>
                    </a:ln>
                  </pic:spPr>
                </pic:pic>
              </a:graphicData>
            </a:graphic>
          </wp:inline>
        </w:drawing>
      </w:r>
    </w:p>
    <w:bookmarkEnd w:id="52"/>
    <w:p>
      <w:r>
        <w:br w:type="page"/>
      </w:r>
    </w:p>
    <w:bookmarkStart w:id="56" w:name="fig-dag-reverse"/>
    <w:p>
      <w:pPr>
        <w:pStyle w:val="FigureTitle"/>
      </w:pPr>
      <w:r>
        <w:t xml:space="preserve">Figure 2</w:t>
      </w:r>
    </w:p>
    <w:p>
      <w:pPr>
        <w:pStyle w:val="Caption"/>
      </w:pPr>
      <w:r>
        <w:t xml:space="preserve">Causal relations between observed variables assumed by the first alternative model, in which the stigmas are causes rather than consequences of Job Satisfaction and Well being.</w:t>
      </w:r>
    </w:p>
    <w:p>
      <w:pPr>
        <w:pStyle w:val="FigureWithoutNote"/>
      </w:pPr>
      <w:r>
        <w:drawing>
          <wp:inline>
            <wp:extent cx="5943600" cy="3962400"/>
            <wp:effectExtent b="0" l="0" r="0" t="0"/>
            <wp:docPr descr="" title="" id="54" name="Picture"/>
            <a:graphic>
              <a:graphicData uri="http://schemas.openxmlformats.org/drawingml/2006/picture">
                <pic:pic>
                  <pic:nvPicPr>
                    <pic:cNvPr descr="../projects/wellbeing/figures/DAG_reverse.jpg" id="55" name="Picture"/>
                    <pic:cNvPicPr>
                      <a:picLocks noChangeArrowheads="1" noChangeAspect="1"/>
                    </pic:cNvPicPr>
                  </pic:nvPicPr>
                  <pic:blipFill>
                    <a:blip r:embed="rId53"/>
                    <a:stretch>
                      <a:fillRect/>
                    </a:stretch>
                  </pic:blipFill>
                  <pic:spPr bwMode="auto">
                    <a:xfrm>
                      <a:off x="0" y="0"/>
                      <a:ext cx="5943600" cy="3962400"/>
                    </a:xfrm>
                    <a:prstGeom prst="rect">
                      <a:avLst/>
                    </a:prstGeom>
                    <a:noFill/>
                    <a:ln w="9525">
                      <a:noFill/>
                      <a:headEnd/>
                      <a:tailEnd/>
                    </a:ln>
                  </pic:spPr>
                </pic:pic>
              </a:graphicData>
            </a:graphic>
          </wp:inline>
        </w:drawing>
      </w:r>
    </w:p>
    <w:bookmarkEnd w:id="56"/>
    <w:p>
      <w:r>
        <w:br w:type="page"/>
      </w:r>
    </w:p>
    <w:bookmarkStart w:id="60" w:name="fig-dag-confounded"/>
    <w:p>
      <w:pPr>
        <w:pStyle w:val="FigureTitle"/>
      </w:pPr>
      <w:r>
        <w:t xml:space="preserve">Figure 3</w:t>
      </w:r>
    </w:p>
    <w:p>
      <w:pPr>
        <w:pStyle w:val="Caption"/>
      </w:pPr>
      <w:r>
        <w:t xml:space="preserve">Causal relations between observed variables assumed by the second alternative model, in which the association between the stigmas and Job Satisfaction/Well being is due to unmeasured common causes only. Dashed bidirected edges denote such common causes.</w:t>
      </w:r>
    </w:p>
    <w:p>
      <w:pPr>
        <w:pStyle w:val="FigureWithoutNote"/>
      </w:pPr>
      <w:r>
        <w:drawing>
          <wp:inline>
            <wp:extent cx="5943600" cy="3962400"/>
            <wp:effectExtent b="0" l="0" r="0" t="0"/>
            <wp:docPr descr="" title="" id="58" name="Picture"/>
            <a:graphic>
              <a:graphicData uri="http://schemas.openxmlformats.org/drawingml/2006/picture">
                <pic:pic>
                  <pic:nvPicPr>
                    <pic:cNvPr descr="../projects/wellbeing/figures/DAG_confounded.jpg" id="59" name="Picture"/>
                    <pic:cNvPicPr>
                      <a:picLocks noChangeArrowheads="1" noChangeAspect="1"/>
                    </pic:cNvPicPr>
                  </pic:nvPicPr>
                  <pic:blipFill>
                    <a:blip r:embed="rId57"/>
                    <a:stretch>
                      <a:fillRect/>
                    </a:stretch>
                  </pic:blipFill>
                  <pic:spPr bwMode="auto">
                    <a:xfrm>
                      <a:off x="0" y="0"/>
                      <a:ext cx="5943600" cy="3962400"/>
                    </a:xfrm>
                    <a:prstGeom prst="rect">
                      <a:avLst/>
                    </a:prstGeom>
                    <a:noFill/>
                    <a:ln w="9525">
                      <a:noFill/>
                      <a:headEnd/>
                      <a:tailEnd/>
                    </a:ln>
                  </pic:spPr>
                </pic:pic>
              </a:graphicData>
            </a:graphic>
          </wp:inline>
        </w:drawing>
      </w:r>
    </w:p>
    <w:bookmarkEnd w:id="60"/>
    <w:p>
      <w:r>
        <w:br w:type="page"/>
      </w:r>
    </w:p>
    <w:bookmarkStart w:id="64" w:name="fig-corsum"/>
    <w:p>
      <w:pPr>
        <w:pStyle w:val="FigureTitle"/>
      </w:pPr>
      <w:r>
        <w:t xml:space="preserve">Figure 4</w:t>
      </w:r>
    </w:p>
    <w:p>
      <w:pPr>
        <w:pStyle w:val="Caption"/>
      </w:pPr>
      <w:r>
        <w:t xml:space="preserve">Psychological outcomes’ correlational structure. Green circles denote variable pairs whose correlation was statistically significant on 5% level.</w:t>
      </w:r>
    </w:p>
    <w:p>
      <w:pPr>
        <w:pStyle w:val="FigureWithoutNote"/>
      </w:pPr>
      <w:r>
        <w:drawing>
          <wp:inline>
            <wp:extent cx="5943600" cy="5943600"/>
            <wp:effectExtent b="0" l="0" r="0" t="0"/>
            <wp:docPr descr="" title="" id="62" name="Picture"/>
            <a:graphic>
              <a:graphicData uri="http://schemas.openxmlformats.org/drawingml/2006/picture">
                <pic:pic>
                  <pic:nvPicPr>
                    <pic:cNvPr descr="../projects/wellbeing/_figures/sum_scores_cormat.jpg" id="63" name="Picture"/>
                    <pic:cNvPicPr>
                      <a:picLocks noChangeArrowheads="1" noChangeAspect="1"/>
                    </pic:cNvPicPr>
                  </pic:nvPicPr>
                  <pic:blipFill>
                    <a:blip r:embed="rId61"/>
                    <a:stretch>
                      <a:fillRect/>
                    </a:stretch>
                  </pic:blipFill>
                  <pic:spPr bwMode="auto">
                    <a:xfrm>
                      <a:off x="0" y="0"/>
                      <a:ext cx="5943600" cy="5943600"/>
                    </a:xfrm>
                    <a:prstGeom prst="rect">
                      <a:avLst/>
                    </a:prstGeom>
                    <a:noFill/>
                    <a:ln w="9525">
                      <a:noFill/>
                      <a:headEnd/>
                      <a:tailEnd/>
                    </a:ln>
                  </pic:spPr>
                </pic:pic>
              </a:graphicData>
            </a:graphic>
          </wp:inline>
        </w:drawing>
      </w:r>
    </w:p>
    <w:bookmarkEnd w:id="64"/>
    <w:p>
      <w:r>
        <w:br w:type="page"/>
      </w:r>
    </w:p>
    <w:bookmarkEnd w:id="65"/>
    <w:bookmarkEnd w:id="66"/>
    <w:p>
      <w:pPr>
        <w:pStyle w:val="Heading1"/>
      </w:pPr>
      <w:r>
        <w:t xml:space="preserve">Appendix</w:t>
      </w:r>
    </w:p>
    <w:p>
      <w:r>
        <w:br w:type="page"/>
      </w:r>
    </w:p>
    <w:bookmarkStart w:id="72" w:name="apx-appendix"/>
    <w:p>
      <w:pPr>
        <w:pStyle w:val="Heading1"/>
      </w:pPr>
      <w:r>
        <w:t xml:space="preserve">Appendix</w:t>
      </w:r>
    </w:p>
    <w:bookmarkStart w:id="67" w:name="tbl-corsum"/>
    <w:p>
      <w:pPr>
        <w:pStyle w:val="FigureTitle"/>
      </w:pPr>
      <w:r>
        <w:t xml:space="preserve">Table A1</w:t>
      </w:r>
    </w:p>
    <w:p>
      <w:pPr>
        <w:pStyle w:val="Caption"/>
      </w:pPr>
      <w:r>
        <w:t xml:space="preserve">Pearson’s correlations between primary outcome variables of the study</w:t>
      </w:r>
    </w:p>
    <w:tbl xmlns:w="http://schemas.openxmlformats.org/wordprocessingml/2006/main" xmlns:wp="http://schemas.openxmlformats.org/drawingml/2006/wordprocessingDrawing" xmlns:r="http://schemas.openxmlformats.org/officeDocument/2006/relationships" xmlns:w14="http://schemas.microsoft.com/office/word/2010/wordml">
      <w:tblPr>
        <w:tblCellMar>
          <w:top w:w="0" w:type="dxa"/>
          <w:bottom w:w="0" w:type="dxa"/>
          <w:start w:w="60" w:type="dxa"/>
          <w:end w:w="60" w:type="dxa"/>
        </w:tblCellMar>
        <w:tblW w:type="auto" w:w="0"/>
        <w:tblLook w:firstRow="0" w:lastRow="0" w:firstColumn="0" w:lastColumn="0" w:noHBand="0" w:noVBand="0"/>
        <w:jc w:val="center"/>
      </w:tblPr>
      <w:tr>
        <w:trPr>
          <w:cantSplit/>
          <w:tblHeader/>
        </w:trPr>
        <w:tc>
          <w:tcPr>
            <w:tcBorders>
              <w:top w:val="single" w:sz="16" w:space="0" w:color="D3D3D3"/>
              <w:bottom w:val="single" w:sz="16" w:space="0" w:color="D3D3D3"/>
              <w:start w:val="single" w:space="0" w:color="D3D3D3"/>
              <w:end w:val="single" w:space="0" w:color="D3D3D3"/>
            </w:tcBorders>
          </w:tcPr>
          <w:p>
            <w:pPr>
              <w:spacing w:before="0" w:after="60"/>
              <w:keepNext/>
              <w:jc w:val="start"/>
            </w:pPr>
            <w:r>
              <w:rPr>
                <w:rFonts w:ascii="Calibri" w:hAnsi="Calibri"/>
                <w:sz w:val="20"/>
              </w:rPr>
              <w:t xml:space="default"/>
            </w:r>
          </w:p>
        </w:tc>
        <w:tc>
          <w:tcPr>
            <w:tcBorders>
              <w:top w:val="single" w:sz="16" w:space="0" w:color="D3D3D3"/>
              <w:bottom w:val="single" w:sz="16" w:space="0" w:color="D3D3D3"/>
              <w:start w:val="single" w:space="0" w:color="D3D3D3"/>
            </w:tcBorders>
          </w:tcPr>
          <w:p>
            <w:pPr>
              <w:spacing w:before="0" w:after="60"/>
              <w:keepNext/>
              <w:jc w:val="start"/>
            </w:pPr>
            <w:r>
              <w:rPr>
                <w:rFonts w:ascii="Calibri" w:hAnsi="Calibri"/>
                <w:sz w:val="20"/>
              </w:rPr>
              <w:t xml:space="default">Age</w:t>
            </w:r>
          </w:p>
        </w:tc>
        <w:tc>
          <w:tcPr>
            <w:tcBorders>
              <w:top w:val="single" w:sz="16" w:space="0" w:color="D3D3D3"/>
              <w:bottom w:val="single" w:sz="16" w:space="0" w:color="D3D3D3"/>
            </w:tcBorders>
          </w:tcPr>
          <w:p>
            <w:pPr>
              <w:spacing w:before="0" w:after="60"/>
              <w:keepNext/>
              <w:jc w:val="start"/>
            </w:pPr>
            <w:r>
              <w:rPr>
                <w:rFonts w:ascii="Calibri" w:hAnsi="Calibri"/>
                <w:sz w:val="20"/>
              </w:rPr>
              <w:t xml:space="default">Years teaching</w:t>
            </w:r>
          </w:p>
        </w:tc>
        <w:tc>
          <w:tcPr>
            <w:tcBorders>
              <w:top w:val="single" w:sz="16" w:space="0" w:color="D3D3D3"/>
              <w:bottom w:val="single" w:sz="16" w:space="0" w:color="D3D3D3"/>
            </w:tcBorders>
          </w:tcPr>
          <w:p>
            <w:pPr>
              <w:spacing w:before="0" w:after="60"/>
              <w:keepNext/>
              <w:jc w:val="start"/>
            </w:pPr>
            <w:r>
              <w:rPr>
                <w:rFonts w:ascii="Calibri" w:hAnsi="Calibri"/>
                <w:sz w:val="20"/>
              </w:rPr>
              <w:t xml:space="default">Well-being</w:t>
            </w:r>
          </w:p>
        </w:tc>
        <w:tc>
          <w:tcPr>
            <w:tcBorders>
              <w:top w:val="single" w:sz="16" w:space="0" w:color="D3D3D3"/>
              <w:bottom w:val="single" w:sz="16" w:space="0" w:color="D3D3D3"/>
            </w:tcBorders>
          </w:tcPr>
          <w:p>
            <w:pPr>
              <w:spacing w:before="0" w:after="60"/>
              <w:keepNext/>
              <w:jc w:val="start"/>
            </w:pPr>
            <w:r>
              <w:rPr>
                <w:rFonts w:ascii="Calibri" w:hAnsi="Calibri"/>
                <w:sz w:val="20"/>
              </w:rPr>
              <w:t xml:space="default">Job satisfaction</w:t>
            </w:r>
          </w:p>
        </w:tc>
        <w:tc>
          <w:tcPr>
            <w:tcBorders>
              <w:top w:val="single" w:sz="16" w:space="0" w:color="D3D3D3"/>
              <w:bottom w:val="single" w:sz="16" w:space="0" w:color="D3D3D3"/>
            </w:tcBorders>
          </w:tcPr>
          <w:p>
            <w:pPr>
              <w:spacing w:before="0" w:after="60"/>
              <w:keepNext/>
              <w:jc w:val="start"/>
            </w:pPr>
            <w:r>
              <w:rPr>
                <w:rFonts w:ascii="Calibri" w:hAnsi="Calibri"/>
                <w:sz w:val="20"/>
              </w:rPr>
              <w:t xml:space="default">Self-stigma</w:t>
            </w:r>
          </w:p>
        </w:tc>
        <w:tc>
          <w:tcPr>
            <w:tcBorders>
              <w:top w:val="single" w:sz="16" w:space="0" w:color="D3D3D3"/>
              <w:bottom w:val="single" w:sz="16" w:space="0" w:color="D3D3D3"/>
              <w:end w:val="single" w:space="0" w:color="D3D3D3"/>
            </w:tcBorders>
          </w:tcPr>
          <w:p>
            <w:pPr>
              <w:spacing w:before="0" w:after="60"/>
              <w:keepNext/>
              <w:jc w:val="start"/>
            </w:pPr>
            <w:r>
              <w:rPr>
                <w:rFonts w:ascii="Calibri" w:hAnsi="Calibri"/>
                <w:sz w:val="20"/>
              </w:rPr>
              <w:t xml:space="default">Stigma due to others</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Age</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1.000 (&lt;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Years teaching</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.774 (&lt;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1.000 (&lt;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Well-being</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.176 (&lt;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.232 (&lt;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1.000 (&lt;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Job satisfaction</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.015 (.755)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.076 (.121)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.552 (&lt;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1.000 (&lt;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Self-stigma</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.047 (.323)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.070 (.146)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-.176 (&lt;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-.142 (.004)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1.000 (&lt;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Stigma due to others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.054 (.264)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.050 (.296)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-.289 (&lt;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-.381 (&lt;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.365 (&lt;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1.000 (&lt; .001)</w:t>
            </w:r>
          </w:p>
        </w:tc>
      </w:tr>
    </w:tbl>
    <w:bookmarkEnd w:id="67"/>
    <w:bookmarkStart w:id="71" w:name="fig-corits"/>
    <w:p>
      <w:pPr>
        <w:pStyle w:val="FigureTitle"/>
      </w:pPr>
      <w:r>
        <w:t xml:space="preserve">Figure A1</w:t>
      </w:r>
    </w:p>
    <w:p>
      <w:pPr>
        <w:pStyle w:val="Caption"/>
      </w:pPr>
      <w:r>
        <w:t xml:space="preserve">Item-level correlation matrix. Cells represent polychoric correlations between each item of each questionnaire used.</w:t>
      </w:r>
    </w:p>
    <w:p>
      <w:pPr>
        <w:pStyle w:val="FigureWithoutNote"/>
      </w:pPr>
      <w:r>
        <w:drawing>
          <wp:inline>
            <wp:extent cx="5943600" cy="5943600"/>
            <wp:effectExtent b="0" l="0" r="0" t="0"/>
            <wp:docPr descr="" title="" id="69" name="Picture"/>
            <a:graphic>
              <a:graphicData uri="http://schemas.openxmlformats.org/drawingml/2006/picture">
                <pic:pic>
                  <pic:nvPicPr>
                    <pic:cNvPr descr="../projects/wellbeing/_figures/item_level_cormat.jpg" id="70" name="Picture"/>
                    <pic:cNvPicPr>
                      <a:picLocks noChangeArrowheads="1" noChangeAspect="1"/>
                    </pic:cNvPicPr>
                  </pic:nvPicPr>
                  <pic:blipFill>
                    <a:blip r:embed="rId68"/>
                    <a:stretch>
                      <a:fillRect/>
                    </a:stretch>
                  </pic:blipFill>
                  <pic:spPr bwMode="auto">
                    <a:xfrm>
                      <a:off x="0" y="0"/>
                      <a:ext cx="5943600" cy="5943600"/>
                    </a:xfrm>
                    <a:prstGeom prst="rect">
                      <a:avLst/>
                    </a:prstGeom>
                    <a:noFill/>
                    <a:ln w="9525">
                      <a:noFill/>
                      <a:headEnd/>
                      <a:tailEnd/>
                    </a:ln>
                  </pic:spPr>
                </pic:pic>
              </a:graphicData>
            </a:graphic>
          </wp:inline>
        </w:drawing>
      </w:r>
    </w:p>
    <w:bookmarkEnd w:id="71"/>
    <w:bookmarkEnd w:id="72"/>
    <w:bookmarkStart w:id="88" w:name="references"/>
    <w:p>
      <w:pPr>
        <w:pStyle w:val="Heading1"/>
      </w:pPr>
      <w:r>
        <w:t xml:space="preserve">References</w:t>
      </w:r>
    </w:p>
    <w:bookmarkStart w:id="87" w:name="refs"/>
    <w:bookmarkStart w:id="74" w:name="ref-cronbach1951"/>
    <w:p>
      <w:pPr>
        <w:pStyle w:val="Bibliography"/>
      </w:pPr>
      <w:r>
        <w:t xml:space="preserve">Cronbach, L. J. (1951). Coefficient alpha and the internal structure of tests.</w:t>
      </w:r>
      <w:r>
        <w:t xml:space="preserve"> </w:t>
      </w:r>
      <w:r>
        <w:rPr>
          <w:i/>
          <w:iCs/>
        </w:rPr>
        <w:t xml:space="preserve">Psychometrika</w:t>
      </w:r>
      <w:r>
        <w:t xml:space="preserve">,</w:t>
      </w:r>
      <w:r>
        <w:t xml:space="preserve"> </w:t>
      </w:r>
      <w:r>
        <w:rPr>
          <w:i/>
          <w:iCs/>
        </w:rPr>
        <w:t xml:space="preserve">16</w:t>
      </w:r>
      <w:r>
        <w:t xml:space="preserve">(3), 297–334.</w:t>
      </w:r>
      <w:r>
        <w:t xml:space="preserve"> </w:t>
      </w:r>
      <w:hyperlink r:id="rId73">
        <w:r>
          <w:rPr>
            <w:rStyle w:val="Hyperlink"/>
          </w:rPr>
          <w:t xml:space="preserve">https://doi.org/10.1007/bf02310555</w:t>
        </w:r>
      </w:hyperlink>
    </w:p>
    <w:bookmarkEnd w:id="74"/>
    <w:bookmarkStart w:id="76" w:name="ref-feldt1987"/>
    <w:p>
      <w:pPr>
        <w:pStyle w:val="Bibliography"/>
      </w:pPr>
      <w:r>
        <w:t xml:space="preserve">Feldt, L. S., Woodruff, D. J., &amp; Salih, F. A. (1987). Statistical inference for coefficient alpha.</w:t>
      </w:r>
      <w:r>
        <w:t xml:space="preserve"> </w:t>
      </w:r>
      <w:r>
        <w:rPr>
          <w:i/>
          <w:iCs/>
        </w:rPr>
        <w:t xml:space="preserve">Applied Psychological Measurement</w:t>
      </w:r>
      <w:r>
        <w:t xml:space="preserve">,</w:t>
      </w:r>
      <w:r>
        <w:t xml:space="preserve"> </w:t>
      </w:r>
      <w:r>
        <w:rPr>
          <w:i/>
          <w:iCs/>
        </w:rPr>
        <w:t xml:space="preserve">11</w:t>
      </w:r>
      <w:r>
        <w:t xml:space="preserve">(1), 93–103.</w:t>
      </w:r>
      <w:r>
        <w:t xml:space="preserve"> </w:t>
      </w:r>
      <w:hyperlink r:id="rId75">
        <w:r>
          <w:rPr>
            <w:rStyle w:val="Hyperlink"/>
          </w:rPr>
          <w:t xml:space="preserve">https://doi.org/10.1177/014662168701100107</w:t>
        </w:r>
      </w:hyperlink>
    </w:p>
    <w:bookmarkEnd w:id="76"/>
    <w:bookmarkStart w:id="78" w:name="ref-olsson1979"/>
    <w:p>
      <w:pPr>
        <w:pStyle w:val="Bibliography"/>
      </w:pPr>
      <w:r>
        <w:t xml:space="preserve">Olsson, U. (1979). Maximum likelihood estimation of the polychoric correlation coefficient.</w:t>
      </w:r>
      <w:r>
        <w:t xml:space="preserve"> </w:t>
      </w:r>
      <w:r>
        <w:rPr>
          <w:i/>
          <w:iCs/>
        </w:rPr>
        <w:t xml:space="preserve">Psychometrika</w:t>
      </w:r>
      <w:r>
        <w:t xml:space="preserve">,</w:t>
      </w:r>
      <w:r>
        <w:t xml:space="preserve"> </w:t>
      </w:r>
      <w:r>
        <w:rPr>
          <w:i/>
          <w:iCs/>
        </w:rPr>
        <w:t xml:space="preserve">44</w:t>
      </w:r>
      <w:r>
        <w:t xml:space="preserve">(4), 443–460.</w:t>
      </w:r>
      <w:r>
        <w:t xml:space="preserve"> </w:t>
      </w:r>
      <w:hyperlink r:id="rId77">
        <w:r>
          <w:rPr>
            <w:rStyle w:val="Hyperlink"/>
          </w:rPr>
          <w:t xml:space="preserve">https://doi.org/10.1007/bf02296207</w:t>
        </w:r>
      </w:hyperlink>
    </w:p>
    <w:bookmarkEnd w:id="78"/>
    <w:bookmarkStart w:id="80" w:name="ref-psych"/>
    <w:p>
      <w:pPr>
        <w:pStyle w:val="Bibliography"/>
      </w:pPr>
      <w:r>
        <w:t xml:space="preserve">Revelle, W. (2022).</w:t>
      </w:r>
      <w:r>
        <w:t xml:space="preserve"> </w:t>
      </w:r>
      <w:r>
        <w:rPr>
          <w:i/>
          <w:iCs/>
        </w:rPr>
        <w:t xml:space="preserve">Psych: Procedures for psychological, psychometric, and personality research</w:t>
      </w:r>
      <w:r>
        <w:t xml:space="preserve">.</w:t>
      </w:r>
      <w:r>
        <w:t xml:space="preserve"> </w:t>
      </w:r>
      <w:hyperlink r:id="rId79">
        <w:r>
          <w:rPr>
            <w:rStyle w:val="Hyperlink"/>
          </w:rPr>
          <w:t xml:space="preserve">https://CRAN.R-project.org/package=psych</w:t>
        </w:r>
      </w:hyperlink>
    </w:p>
    <w:bookmarkEnd w:id="80"/>
    <w:bookmarkStart w:id="82" w:name="ref-rosseel2012"/>
    <w:p>
      <w:pPr>
        <w:pStyle w:val="Bibliography"/>
      </w:pPr>
      <w:r>
        <w:t xml:space="preserve">Rosseel, Y. (2012).</w:t>
      </w:r>
      <w:r>
        <w:t xml:space="preserve"> </w:t>
      </w:r>
      <w:r>
        <w:t xml:space="preserve">lavaan</w:t>
      </w:r>
      <w:r>
        <w:t xml:space="preserve">: An</w:t>
      </w:r>
      <w:r>
        <w:t xml:space="preserve"> </w:t>
      </w:r>
      <w:r>
        <w:t xml:space="preserve">R</w:t>
      </w:r>
      <w:r>
        <w:t xml:space="preserve"> </w:t>
      </w:r>
      <w:r>
        <w:t xml:space="preserve">package for structural equation modeling. In</w:t>
      </w:r>
      <w:r>
        <w:t xml:space="preserve"> </w:t>
      </w:r>
      <w:r>
        <w:rPr>
          <w:i/>
          <w:iCs/>
        </w:rPr>
        <w:t xml:space="preserve">Journal of Statistical Software</w:t>
      </w:r>
      <w:r>
        <w:t xml:space="preserve"> </w:t>
      </w:r>
      <w:r>
        <w:t xml:space="preserve">(No. 2; Vol. 48, pp. 1–36).</w:t>
      </w:r>
      <w:r>
        <w:t xml:space="preserve"> </w:t>
      </w:r>
      <w:hyperlink r:id="rId81">
        <w:r>
          <w:rPr>
            <w:rStyle w:val="Hyperlink"/>
          </w:rPr>
          <w:t xml:space="preserve">https://doi.org/10.18637/jss.v048.i02</w:t>
        </w:r>
      </w:hyperlink>
    </w:p>
    <w:bookmarkEnd w:id="82"/>
    <w:bookmarkStart w:id="84" w:name="ref-vogel2007"/>
    <w:p>
      <w:pPr>
        <w:pStyle w:val="Bibliography"/>
      </w:pPr>
      <w:r>
        <w:t xml:space="preserve">Vogel, D. L., Wade, N. G., &amp; Hackler, A. H. (2007). Perceived social network stigma and the willingness to seek counseling: The mediating roles of self-stigma and attitudes toward counseling.</w:t>
      </w:r>
      <w:r>
        <w:t xml:space="preserve"> </w:t>
      </w:r>
      <w:r>
        <w:rPr>
          <w:i/>
          <w:iCs/>
        </w:rPr>
        <w:t xml:space="preserve">Journal of Counseling Psychology</w:t>
      </w:r>
      <w:r>
        <w:t xml:space="preserve">,</w:t>
      </w:r>
      <w:r>
        <w:t xml:space="preserve"> </w:t>
      </w:r>
      <w:r>
        <w:rPr>
          <w:i/>
          <w:iCs/>
        </w:rPr>
        <w:t xml:space="preserve">54</w:t>
      </w:r>
      <w:r>
        <w:t xml:space="preserve">(1), 40–50.</w:t>
      </w:r>
      <w:r>
        <w:t xml:space="preserve"> </w:t>
      </w:r>
      <w:hyperlink r:id="rId83">
        <w:r>
          <w:rPr>
            <w:rStyle w:val="Hyperlink"/>
          </w:rPr>
          <w:t xml:space="preserve">https://doi.org/10.1037/0022-0167.54.1.40</w:t>
        </w:r>
      </w:hyperlink>
    </w:p>
    <w:bookmarkEnd w:id="84"/>
    <w:bookmarkStart w:id="86" w:name="ref-corrplot"/>
    <w:p>
      <w:pPr>
        <w:pStyle w:val="Bibliography"/>
      </w:pPr>
      <w:r>
        <w:t xml:space="preserve">Wei, T., &amp; Simko, V. (2021).</w:t>
      </w:r>
      <w:r>
        <w:t xml:space="preserve"> </w:t>
      </w:r>
      <w:r>
        <w:rPr>
          <w:i/>
          <w:iCs/>
        </w:rPr>
        <w:t xml:space="preserve">R package ’corrplot’: Visualization of a correlation matrix</w:t>
      </w:r>
      <w:r>
        <w:t xml:space="preserve">.</w:t>
      </w:r>
      <w:r>
        <w:t xml:space="preserve"> </w:t>
      </w:r>
      <w:hyperlink r:id="rId85">
        <w:r>
          <w:rPr>
            <w:rStyle w:val="Hyperlink"/>
          </w:rPr>
          <w:t xml:space="preserve">https://github.com/taiyun/corrplot</w:t>
        </w:r>
      </w:hyperlink>
    </w:p>
    <w:bookmarkEnd w:id="86"/>
    <w:bookmarkEnd w:id="87"/>
    <w:bookmarkEnd w:id="88"/>
    <w:sectPr w:rsidR="007868AB" w:rsidRPr="005528BA">
      <w:headerReference r:id="rId8" w:type="even"/>
      <w:headerReference r:id="rId9" w:type="default"/>
      <w:footerReference r:id="rId10" w:type="even"/>
      <w:footerReference r:id="rId11" w:type="default"/>
      <w:headerReference r:id="rId12"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8A7EE" w14:textId="77777777" w:rsidR="00BB5C76" w:rsidRDefault="00BB5C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2C7AE" w14:textId="77777777" w:rsidR="00BB5C76" w:rsidRDefault="00BB5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4098C" w14:textId="77777777" w:rsidR="00BB5C76" w:rsidRDefault="00BB5C76">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BB696" w14:textId="77777777" w:rsidR="00BB5C76" w:rsidRDefault="00BB5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AA480" w14:textId="7EF1670F" w:rsidR="00340B9E" w:rsidRPr="000D23CF" w:rsidRDefault="00000000" w:rsidP="000D23CF">
    <w:pPr>
      <w:tabs>
        <w:tab w:val="right" w:pos="9360"/>
      </w:tabs>
    </w:pPr>
    <w:sdt>
      <w:sdtPr>
        <w:alias w:val="Comments"/>
        <w:tag w:val=""/>
        <w:id w:val="411821190"/>
        <w:placeholder>
          <w:docPart w:val="0C02FC99099648D19246354A6487E13A"/>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r w:rsidR="00BB5C76" w:rsidRPr="00361F1C">
          <w:rPr>
            <w:rStyle w:val="PlaceholderText"/>
          </w:rPr>
          <w:t>[Comments]</w:t>
        </w:r>
      </w:sdtContent>
    </w:sdt>
    <w:r w:rsidR="000D23CF">
      <w:tab/>
    </w:r>
    <w:r w:rsidR="000D23CF">
      <w:fldChar w:fldCharType="begin"/>
    </w:r>
    <w:r w:rsidR="000D23CF">
      <w:instrText xml:space="preserve"> PAGE   \* MERGEFORMAT </w:instrText>
    </w:r>
    <w:r w:rsidR="000D23CF">
      <w:fldChar w:fldCharType="separate"/>
    </w:r>
    <w:r w:rsidR="000D23CF">
      <w:rPr>
        <w:noProof/>
      </w:rPr>
      <w:t>1</w:t>
    </w:r>
    <w:r w:rsidR="000D23CF">
      <w:rPr>
        <w:noProof/>
      </w:rPr>
      <w:fldChar w:fldCharType="end"/>
    </w:r>
  </w:p>
  <w:p w14:paraId="0B6AFBF4" w14:textId="77777777" w:rsidR="00340B9E" w:rsidRDefault="00340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E26B0" w14:textId="77777777" w:rsidR="00BB5C76" w:rsidRDefault="00BB5C76">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FFFFFF7C"/>
    <w:multiLevelType w:val="singleLevel"/>
    <w:tmpl w:val="631A5F20"/>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8AA8C720"/>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0A3E2FDE"/>
    <w:lvl w:ilvl="0">
      <w:start w:val="1"/>
      <w:numFmt w:val="decimal"/>
      <w:lvlText w:val="%1."/>
      <w:lvlJc w:val="left"/>
      <w:pPr>
        <w:tabs>
          <w:tab w:pos="1080" w:val="num"/>
        </w:tabs>
        <w:ind w:hanging="360" w:left="1080"/>
      </w:pPr>
    </w:lvl>
  </w:abstractNum>
  <w:abstractNum w15:restartNumberingAfterBreak="0" w:abstractNumId="3">
    <w:nsid w:val="FFFFFF7F"/>
    <w:multiLevelType w:val="singleLevel"/>
    <w:tmpl w:val="DC147E68"/>
    <w:lvl w:ilvl="0">
      <w:start w:val="1"/>
      <w:numFmt w:val="decimal"/>
      <w:lvlText w:val="%1."/>
      <w:lvlJc w:val="left"/>
      <w:pPr>
        <w:tabs>
          <w:tab w:pos="720" w:val="num"/>
        </w:tabs>
        <w:ind w:hanging="360" w:left="720"/>
      </w:pPr>
    </w:lvl>
  </w:abstractNum>
  <w:abstractNum w15:restartNumberingAfterBreak="0" w:abstractNumId="4">
    <w:nsid w:val="FFFFFF80"/>
    <w:multiLevelType w:val="singleLevel"/>
    <w:tmpl w:val="839682B4"/>
    <w:lvl w:ilvl="0">
      <w:start w:val="1"/>
      <w:numFmt w:val="bullet"/>
      <w:lvlText w:val=""/>
      <w:lvlJc w:val="left"/>
      <w:pPr>
        <w:tabs>
          <w:tab w:pos="1800" w:val="num"/>
        </w:tabs>
        <w:ind w:hanging="360" w:left="1800"/>
      </w:pPr>
      <w:rPr>
        <w:rFonts w:ascii="Symbol" w:hAnsi="Symbol" w:hint="default"/>
      </w:rPr>
    </w:lvl>
  </w:abstractNum>
  <w:abstractNum w15:restartNumberingAfterBreak="0" w:abstractNumId="5">
    <w:nsid w:val="FFFFFF81"/>
    <w:multiLevelType w:val="singleLevel"/>
    <w:tmpl w:val="E2128A1A"/>
    <w:lvl w:ilvl="0">
      <w:start w:val="1"/>
      <w:numFmt w:val="bullet"/>
      <w:lvlText w:val=""/>
      <w:lvlJc w:val="left"/>
      <w:pPr>
        <w:tabs>
          <w:tab w:pos="1440" w:val="num"/>
        </w:tabs>
        <w:ind w:hanging="360" w:left="1440"/>
      </w:pPr>
      <w:rPr>
        <w:rFonts w:ascii="Symbol" w:hAnsi="Symbol" w:hint="default"/>
      </w:rPr>
    </w:lvl>
  </w:abstractNum>
  <w:abstractNum w15:restartNumberingAfterBreak="0" w:abstractNumId="6">
    <w:nsid w:val="FFFFFF82"/>
    <w:multiLevelType w:val="singleLevel"/>
    <w:tmpl w:val="D18C86DE"/>
    <w:lvl w:ilvl="0">
      <w:start w:val="1"/>
      <w:numFmt w:val="bullet"/>
      <w:lvlText w:val=""/>
      <w:lvlJc w:val="left"/>
      <w:pPr>
        <w:tabs>
          <w:tab w:pos="1080" w:val="num"/>
        </w:tabs>
        <w:ind w:hanging="360" w:left="1080"/>
      </w:pPr>
      <w:rPr>
        <w:rFonts w:ascii="Symbol" w:hAnsi="Symbol" w:hint="default"/>
      </w:rPr>
    </w:lvl>
  </w:abstractNum>
  <w:abstractNum w15:restartNumberingAfterBreak="0" w:abstractNumId="7">
    <w:nsid w:val="FFFFFF83"/>
    <w:multiLevelType w:val="singleLevel"/>
    <w:tmpl w:val="165E97EA"/>
    <w:lvl w:ilvl="0">
      <w:start w:val="1"/>
      <w:numFmt w:val="bullet"/>
      <w:lvlText w:val=""/>
      <w:lvlJc w:val="left"/>
      <w:pPr>
        <w:tabs>
          <w:tab w:pos="720" w:val="num"/>
        </w:tabs>
        <w:ind w:hanging="360" w:left="720"/>
      </w:pPr>
      <w:rPr>
        <w:rFonts w:ascii="Symbol" w:hAnsi="Symbol" w:hint="default"/>
      </w:rPr>
    </w:lvl>
  </w:abstractNum>
  <w:abstractNum w15:restartNumberingAfterBreak="0" w:abstractNumId="8">
    <w:nsid w:val="FFFFFF88"/>
    <w:multiLevelType w:val="singleLevel"/>
    <w:tmpl w:val="35509728"/>
    <w:lvl w:ilvl="0">
      <w:start w:val="1"/>
      <w:numFmt w:val="decimal"/>
      <w:lvlText w:val="%1."/>
      <w:lvlJc w:val="left"/>
      <w:pPr>
        <w:tabs>
          <w:tab w:pos="360" w:val="num"/>
        </w:tabs>
        <w:ind w:hanging="360" w:left="360"/>
      </w:pPr>
    </w:lvl>
  </w:abstractNum>
  <w:abstractNum w15:restartNumberingAfterBreak="0" w:abstractNumId="9">
    <w:nsid w:val="FFFFFF89"/>
    <w:multiLevelType w:val="singleLevel"/>
    <w:tmpl w:val="38C8C9DE"/>
    <w:lvl w:ilvl="0">
      <w:start w:val="1"/>
      <w:numFmt w:val="bullet"/>
      <w:lvlText w:val=""/>
      <w:lvlJc w:val="left"/>
      <w:pPr>
        <w:tabs>
          <w:tab w:pos="360" w:val="num"/>
        </w:tabs>
        <w:ind w:hanging="360" w:left="360"/>
      </w:pPr>
      <w:rPr>
        <w:rFonts w:ascii="Symbol" w:hAnsi="Symbol" w:hint="default"/>
      </w:rPr>
    </w:lvl>
  </w:abstractNum>
  <w:abstractNum w15:restartNumberingAfterBreak="0" w:abstractNumId="10">
    <w:nsid w:val="5D1079BE"/>
    <w:multiLevelType w:val="hybridMultilevel"/>
    <w:tmpl w:val="589A61B8"/>
    <w:lvl w:ilvl="0" w:tplc="2A80B848">
      <w:start w:val="1"/>
      <w:numFmt w:val="decimal"/>
      <w:pStyle w:val="APAEnumerated"/>
      <w:lvlText w:val="%1."/>
      <w:lvlJc w:val="left"/>
      <w:pPr>
        <w:ind w:hanging="360" w:left="360"/>
      </w:pPr>
      <w:rPr>
        <w:rFonts w:hint="default"/>
      </w:r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423961382" w:numId="1">
    <w:abstractNumId w:val="10"/>
  </w:num>
  <w:num w16cid:durableId="1687557963" w:numId="2">
    <w:abstractNumId w:val="9"/>
  </w:num>
  <w:num w16cid:durableId="1037200209" w:numId="3">
    <w:abstractNumId w:val="7"/>
  </w:num>
  <w:num w16cid:durableId="1834566650" w:numId="4">
    <w:abstractNumId w:val="6"/>
  </w:num>
  <w:num w16cid:durableId="1713074931" w:numId="5">
    <w:abstractNumId w:val="5"/>
  </w:num>
  <w:num w16cid:durableId="90976974" w:numId="6">
    <w:abstractNumId w:val="4"/>
  </w:num>
  <w:num w16cid:durableId="1378773811" w:numId="7">
    <w:abstractNumId w:val="8"/>
  </w:num>
  <w:num w16cid:durableId="2106684559" w:numId="8">
    <w:abstractNumId w:val="3"/>
  </w:num>
  <w:num w16cid:durableId="1702896435" w:numId="9">
    <w:abstractNumId w:val="2"/>
  </w:num>
  <w:num w16cid:durableId="1542131015" w:numId="10">
    <w:abstractNumId w:val="1"/>
  </w:num>
  <w:num w16cid:durableId="1202327122" w:numId="11">
    <w:abstractNumId w:val="0"/>
  </w:num>
  <w:num w16cid:durableId="1855149352" w:numId="12">
    <w:abstractNumId w:val="9"/>
  </w:num>
  <w:num w16cid:durableId="1364743380" w:numId="13">
    <w:abstractNumId w:val="7"/>
  </w:num>
  <w:num w16cid:durableId="20473214" w:numId="14">
    <w:abstractNumId w:val="6"/>
  </w:num>
  <w:num w16cid:durableId="1905485383" w:numId="15">
    <w:abstractNumId w:val="5"/>
  </w:num>
  <w:num w16cid:durableId="1657997273" w:numId="16">
    <w:abstractNumId w:val="4"/>
  </w:num>
  <w:num w16cid:durableId="1775712193" w:numId="17">
    <w:abstractNumId w:val="8"/>
  </w:num>
  <w:num w16cid:durableId="772827886" w:numId="18">
    <w:abstractNumId w:val="3"/>
  </w:num>
  <w:num w16cid:durableId="1912688915" w:numId="19">
    <w:abstractNumId w:val="2"/>
  </w:num>
  <w:num w16cid:durableId="1611625261" w:numId="20">
    <w:abstractNumId w:val="1"/>
  </w:num>
  <w:num w16cid:durableId="2107966237" w:numId="21">
    <w:abstractNumId w:val="0"/>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stylePaneSortMethod w:val="000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71F"/>
    <w:rsid w:val="00010E42"/>
    <w:rsid w:val="000262D9"/>
    <w:rsid w:val="00036EDA"/>
    <w:rsid w:val="00041AF0"/>
    <w:rsid w:val="00060379"/>
    <w:rsid w:val="00064E3B"/>
    <w:rsid w:val="00065938"/>
    <w:rsid w:val="00077AB1"/>
    <w:rsid w:val="00090864"/>
    <w:rsid w:val="000D23CF"/>
    <w:rsid w:val="000D5C95"/>
    <w:rsid w:val="00101C59"/>
    <w:rsid w:val="00102C76"/>
    <w:rsid w:val="00126683"/>
    <w:rsid w:val="0017682D"/>
    <w:rsid w:val="00184809"/>
    <w:rsid w:val="001A345B"/>
    <w:rsid w:val="001B0FEA"/>
    <w:rsid w:val="001E466D"/>
    <w:rsid w:val="001F1CB0"/>
    <w:rsid w:val="00216260"/>
    <w:rsid w:val="002239CF"/>
    <w:rsid w:val="00225010"/>
    <w:rsid w:val="00232B45"/>
    <w:rsid w:val="002432D4"/>
    <w:rsid w:val="00250BD5"/>
    <w:rsid w:val="00251EDB"/>
    <w:rsid w:val="0027048E"/>
    <w:rsid w:val="002723E0"/>
    <w:rsid w:val="0027518C"/>
    <w:rsid w:val="002A768D"/>
    <w:rsid w:val="002B1D3B"/>
    <w:rsid w:val="002B6632"/>
    <w:rsid w:val="002C3B74"/>
    <w:rsid w:val="002C5DF2"/>
    <w:rsid w:val="002E7A3C"/>
    <w:rsid w:val="0030567B"/>
    <w:rsid w:val="003141C0"/>
    <w:rsid w:val="003340D6"/>
    <w:rsid w:val="00340B9E"/>
    <w:rsid w:val="00387689"/>
    <w:rsid w:val="003B7C65"/>
    <w:rsid w:val="003D2E3A"/>
    <w:rsid w:val="003D73FF"/>
    <w:rsid w:val="004023D3"/>
    <w:rsid w:val="004544C0"/>
    <w:rsid w:val="00464B44"/>
    <w:rsid w:val="00467A7C"/>
    <w:rsid w:val="00496CB8"/>
    <w:rsid w:val="004D17CF"/>
    <w:rsid w:val="004D5CEB"/>
    <w:rsid w:val="004E2B8F"/>
    <w:rsid w:val="0051128C"/>
    <w:rsid w:val="005203E2"/>
    <w:rsid w:val="005528BA"/>
    <w:rsid w:val="005566BA"/>
    <w:rsid w:val="00565B1E"/>
    <w:rsid w:val="005665F3"/>
    <w:rsid w:val="00586C23"/>
    <w:rsid w:val="00602337"/>
    <w:rsid w:val="006122FA"/>
    <w:rsid w:val="00633291"/>
    <w:rsid w:val="00661B64"/>
    <w:rsid w:val="006A7CEE"/>
    <w:rsid w:val="006D3C7F"/>
    <w:rsid w:val="00717963"/>
    <w:rsid w:val="00772034"/>
    <w:rsid w:val="007868AB"/>
    <w:rsid w:val="007A1B2A"/>
    <w:rsid w:val="007C4E27"/>
    <w:rsid w:val="007E2A5D"/>
    <w:rsid w:val="00801C81"/>
    <w:rsid w:val="0083560B"/>
    <w:rsid w:val="00852D8C"/>
    <w:rsid w:val="0086288E"/>
    <w:rsid w:val="008F27BE"/>
    <w:rsid w:val="009057F5"/>
    <w:rsid w:val="00932B9C"/>
    <w:rsid w:val="009638C5"/>
    <w:rsid w:val="009B29FD"/>
    <w:rsid w:val="009B41AF"/>
    <w:rsid w:val="00A072AF"/>
    <w:rsid w:val="00A16B10"/>
    <w:rsid w:val="00A46245"/>
    <w:rsid w:val="00A82821"/>
    <w:rsid w:val="00A946AC"/>
    <w:rsid w:val="00AA1F29"/>
    <w:rsid w:val="00AC3115"/>
    <w:rsid w:val="00AC58E4"/>
    <w:rsid w:val="00AE4D7A"/>
    <w:rsid w:val="00AE5BBA"/>
    <w:rsid w:val="00AF36CA"/>
    <w:rsid w:val="00B02682"/>
    <w:rsid w:val="00B12CE3"/>
    <w:rsid w:val="00B21373"/>
    <w:rsid w:val="00B42EBE"/>
    <w:rsid w:val="00B617FB"/>
    <w:rsid w:val="00B830DE"/>
    <w:rsid w:val="00B83793"/>
    <w:rsid w:val="00B94715"/>
    <w:rsid w:val="00BB3FEC"/>
    <w:rsid w:val="00BB5C76"/>
    <w:rsid w:val="00BD022F"/>
    <w:rsid w:val="00C23682"/>
    <w:rsid w:val="00C304F7"/>
    <w:rsid w:val="00C4693A"/>
    <w:rsid w:val="00C84525"/>
    <w:rsid w:val="00CA071F"/>
    <w:rsid w:val="00CB7758"/>
    <w:rsid w:val="00CE01EB"/>
    <w:rsid w:val="00D11429"/>
    <w:rsid w:val="00D25C5B"/>
    <w:rsid w:val="00D630B7"/>
    <w:rsid w:val="00D807FA"/>
    <w:rsid w:val="00DA752F"/>
    <w:rsid w:val="00DB4D47"/>
    <w:rsid w:val="00DE772F"/>
    <w:rsid w:val="00E37D61"/>
    <w:rsid w:val="00E401D3"/>
    <w:rsid w:val="00E401FC"/>
    <w:rsid w:val="00E528E7"/>
    <w:rsid w:val="00E71E11"/>
    <w:rsid w:val="00E868AE"/>
    <w:rsid w:val="00E90878"/>
    <w:rsid w:val="00EA4191"/>
    <w:rsid w:val="00EA785F"/>
    <w:rsid w:val="00EA7B31"/>
    <w:rsid w:val="00F13DD4"/>
    <w:rsid w:val="00F3598F"/>
    <w:rsid w:val="00F57810"/>
    <w:rsid w:val="00F774FD"/>
    <w:rsid w:val="00F87745"/>
    <w:rsid w:val="00F92DA2"/>
    <w:rsid w:val="00FC515E"/>
  </w:rsids>
  <w:themeFontLang w:val="en-US"/>
  <w:clrSchemeMapping w:accent1="accent1" w:accent2="accent2" w:accent3="accent3" w:accent4="accent4" w:accent5="accent5" w:accent6="accent6" w:bg1="light1" w:bg2="light2" w:followedHyperlink="followedHyperlink" w:hyperlink="hyperlink" w:t1="dark1" w:t2="dark2"/>
  <w:doNotIncludeSubdocsInStats/>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83560B"/>
    <w:pPr>
      <w:spacing w:after="0" w:line="480" w:lineRule="auto"/>
    </w:pPr>
  </w:style>
  <w:style w:styleId="Heading1" w:type="paragraph">
    <w:name w:val="heading 1"/>
    <w:basedOn w:val="Normal"/>
    <w:next w:val="BodyText"/>
    <w:uiPriority w:val="9"/>
    <w:qFormat/>
    <w:rsid w:val="00901FB7"/>
    <w:pPr>
      <w:keepNext/>
      <w:keepLines/>
      <w:jc w:val="center"/>
      <w:outlineLvl w:val="0"/>
    </w:pPr>
    <w:rPr>
      <w:rFonts w:asciiTheme="majorHAnsi" w:cstheme="majorBidi" w:eastAsiaTheme="majorEastAsia" w:hAnsiTheme="majorHAnsi"/>
      <w:b/>
      <w:bCs/>
      <w:szCs w:val="32"/>
    </w:rPr>
  </w:style>
  <w:style w:styleId="Heading2" w:type="paragraph">
    <w:name w:val="heading 2"/>
    <w:basedOn w:val="Normal"/>
    <w:next w:val="BodyText"/>
    <w:uiPriority w:val="9"/>
    <w:unhideWhenUsed/>
    <w:qFormat/>
    <w:rsid w:val="00901FB7"/>
    <w:pPr>
      <w:keepNext/>
      <w:keepLines/>
      <w:outlineLvl w:val="1"/>
    </w:pPr>
    <w:rPr>
      <w:rFonts w:asciiTheme="majorHAnsi" w:cstheme="majorBidi" w:eastAsiaTheme="majorEastAsia" w:hAnsiTheme="majorHAnsi"/>
      <w:b/>
      <w:bCs/>
      <w:szCs w:val="28"/>
    </w:rPr>
  </w:style>
  <w:style w:styleId="Heading3" w:type="paragraph">
    <w:name w:val="heading 3"/>
    <w:basedOn w:val="Normal"/>
    <w:next w:val="BodyText"/>
    <w:uiPriority w:val="9"/>
    <w:unhideWhenUsed/>
    <w:qFormat/>
    <w:rsid w:val="00901FB7"/>
    <w:pPr>
      <w:keepNext/>
      <w:keepLines/>
      <w:outlineLvl w:val="2"/>
    </w:pPr>
    <w:rPr>
      <w:rFonts w:asciiTheme="majorHAnsi" w:cstheme="majorBidi" w:eastAsiaTheme="majorEastAsia" w:hAnsiTheme="majorHAnsi"/>
      <w:b/>
      <w:bCs/>
      <w:i/>
    </w:rPr>
  </w:style>
  <w:style w:styleId="Heading4" w:type="paragraph">
    <w:name w:val="heading 4"/>
    <w:basedOn w:val="Normal"/>
    <w:next w:val="BodyText"/>
    <w:uiPriority w:val="9"/>
    <w:unhideWhenUsed/>
    <w:qFormat/>
    <w:rsid w:val="008174AC"/>
    <w:pPr>
      <w:keepNext/>
      <w:keepLines/>
      <w:ind w:firstLine="720"/>
      <w:outlineLvl w:val="3"/>
    </w:pPr>
    <w:rPr>
      <w:rFonts w:asciiTheme="majorHAnsi" w:cstheme="majorBidi" w:eastAsiaTheme="majorEastAsia" w:hAnsiTheme="majorHAnsi"/>
      <w:b/>
      <w:bCs/>
    </w:rPr>
  </w:style>
  <w:style w:styleId="Heading5" w:type="paragraph">
    <w:name w:val="heading 5"/>
    <w:basedOn w:val="Normal"/>
    <w:next w:val="BodyText"/>
    <w:uiPriority w:val="9"/>
    <w:unhideWhenUsed/>
    <w:qFormat/>
    <w:rsid w:val="00BD022F"/>
    <w:pPr>
      <w:keepNext/>
      <w:keepLines/>
      <w:ind w:firstLine="720"/>
      <w:outlineLvl w:val="4"/>
    </w:pPr>
    <w:rPr>
      <w:rFonts w:asciiTheme="majorHAnsi" w:cstheme="majorBidi" w:eastAsiaTheme="majorEastAsia" w:hAnsiTheme="majorHAnsi"/>
      <w:b/>
      <w:i/>
      <w:iCs/>
    </w:rPr>
  </w:style>
  <w:style w:styleId="Heading6" w:type="paragraph">
    <w:name w:val="heading 6"/>
    <w:basedOn w:val="Normal"/>
    <w:next w:val="BodyText"/>
    <w:uiPriority w:val="9"/>
    <w:unhideWhenUsed/>
    <w:pPr>
      <w:keepNext/>
      <w:keepLines/>
      <w:spacing w:before="200"/>
      <w:outlineLvl w:val="5"/>
    </w:pPr>
    <w:rPr>
      <w:rFonts w:asciiTheme="majorHAnsi" w:cstheme="majorBidi" w:eastAsiaTheme="majorEastAsia" w:hAnsiTheme="majorHAnsi"/>
      <w:color w:themeColor="accent1" w:val="4472C4"/>
    </w:rPr>
  </w:style>
  <w:style w:styleId="Heading7" w:type="paragraph">
    <w:name w:val="heading 7"/>
    <w:basedOn w:val="Normal"/>
    <w:next w:val="BodyText"/>
    <w:uiPriority w:val="9"/>
    <w:unhideWhenUsed/>
    <w:pPr>
      <w:keepNext/>
      <w:keepLines/>
      <w:spacing w:before="200"/>
      <w:outlineLvl w:val="6"/>
    </w:pPr>
    <w:rPr>
      <w:rFonts w:asciiTheme="majorHAnsi" w:cstheme="majorBidi" w:eastAsiaTheme="majorEastAsia" w:hAnsiTheme="majorHAnsi"/>
      <w:color w:themeColor="accent1" w:val="4472C4"/>
    </w:rPr>
  </w:style>
  <w:style w:styleId="Heading8" w:type="paragraph">
    <w:name w:val="heading 8"/>
    <w:basedOn w:val="Normal"/>
    <w:next w:val="BodyText"/>
    <w:uiPriority w:val="9"/>
    <w:unhideWhenUsed/>
    <w:pPr>
      <w:keepNext/>
      <w:keepLines/>
      <w:spacing w:before="200"/>
      <w:outlineLvl w:val="7"/>
    </w:pPr>
    <w:rPr>
      <w:rFonts w:asciiTheme="majorHAnsi" w:cstheme="majorBidi" w:eastAsiaTheme="majorEastAsia" w:hAnsiTheme="majorHAnsi"/>
      <w:color w:themeColor="accent1" w:val="4472C4"/>
    </w:rPr>
  </w:style>
  <w:style w:styleId="Heading9" w:type="paragraph">
    <w:name w:val="heading 9"/>
    <w:basedOn w:val="Normal"/>
    <w:next w:val="BodyText"/>
    <w:uiPriority w:val="9"/>
    <w:unhideWhenUsed/>
    <w:pPr>
      <w:keepNext/>
      <w:keepLines/>
      <w:spacing w:before="200"/>
      <w:outlineLvl w:val="8"/>
    </w:pPr>
    <w:rPr>
      <w:rFonts w:asciiTheme="majorHAnsi" w:cstheme="majorBidi" w:eastAsiaTheme="majorEastAsia" w:hAnsiTheme="majorHAnsi"/>
      <w:color w:themeColor="accent1" w:val="4472C4"/>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qFormat/>
    <w:rsid w:val="0083560B"/>
    <w:pPr>
      <w:ind w:firstLine="720"/>
    </w:pPr>
  </w:style>
  <w:style w:customStyle="1" w:styleId="FirstParagraph" w:type="paragraph">
    <w:name w:val="First Paragraph"/>
    <w:basedOn w:val="BodyText"/>
    <w:next w:val="BodyText"/>
    <w:qFormat/>
    <w:rsid w:val="008174AC"/>
  </w:style>
  <w:style w:customStyle="1" w:styleId="Compact" w:type="paragraph">
    <w:name w:val="Compact"/>
    <w:basedOn w:val="BodyText"/>
    <w:qFormat/>
    <w:rsid w:val="00387689"/>
    <w:pPr>
      <w:spacing w:line="240" w:lineRule="auto"/>
      <w:ind w:firstLine="0"/>
    </w:pPr>
  </w:style>
  <w:style w:styleId="Title" w:type="paragraph">
    <w:name w:val="Title"/>
    <w:basedOn w:val="Normal"/>
    <w:next w:val="BodyText"/>
    <w:link w:val="TitleChar"/>
    <w:qFormat/>
    <w:rsid w:val="00E401FC"/>
    <w:pPr>
      <w:jc w:val="center"/>
      <w:outlineLvl w:val="0"/>
    </w:pPr>
    <w:rPr>
      <w:b/>
      <w:bCs/>
    </w:rPr>
  </w:style>
  <w:style w:styleId="Subtitle" w:type="paragraph">
    <w:name w:val="Subtitle"/>
    <w:basedOn w:val="Title"/>
    <w:next w:val="BodyText"/>
    <w:qFormat/>
    <w:rsid w:val="00E401FC"/>
    <w:pPr>
      <w:outlineLvl w:val="1"/>
    </w:pPr>
    <w:rPr>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link w:val="AbstractChar"/>
    <w:qFormat/>
    <w:rsid w:val="005528BA"/>
    <w:pPr>
      <w:ind w:firstLine="720"/>
    </w:pPr>
    <w:rPr>
      <w:szCs w:val="20"/>
    </w:rPr>
  </w:style>
  <w:style w:styleId="Bibliography" w:type="paragraph">
    <w:name w:val="Bibliography"/>
    <w:basedOn w:val="Normal"/>
    <w:qFormat/>
    <w:rsid w:val="00CB7758"/>
    <w:pPr>
      <w:ind w:hanging="720" w:left="720"/>
    </w:pPr>
  </w:style>
  <w:style w:styleId="BlockText" w:type="paragraph">
    <w:name w:val="Block Text"/>
    <w:basedOn w:val="BodyText"/>
    <w:next w:val="BodyText"/>
    <w:link w:val="BlockTextChar"/>
    <w:uiPriority w:val="9"/>
    <w:unhideWhenUsed/>
    <w:qFormat/>
    <w:rsid w:val="0017682D"/>
    <w:pPr>
      <w:ind w:firstLine="0" w:left="720" w:right="720"/>
    </w:pPr>
  </w:style>
  <w:style w:styleId="FootnoteText" w:type="paragraph">
    <w:name w:val="footnote text"/>
    <w:basedOn w:val="Normal"/>
    <w:uiPriority w:val="9"/>
    <w:unhideWhenUsed/>
    <w:qFormat/>
  </w:style>
  <w:style w:customStyle="1" w:styleId="Table" w:type="table">
    <w:name w:val="Table"/>
    <w:semiHidden/>
    <w:unhideWhenUsed/>
    <w:qFormat/>
    <w:rsid w:val="00387689"/>
    <w:pPr>
      <w:spacing w:after="60" w:before="60"/>
    </w:pPr>
    <w:tblPr>
      <w:tblInd w:type="dxa" w:w="0"/>
      <w:tblBorders>
        <w:bottom w:color="auto" w:space="0" w:sz="4" w:val="single"/>
      </w:tblBorders>
      <w:tblCellMar>
        <w:top w:type="dxa" w:w="58"/>
        <w:left w:type="dxa" w:w="58"/>
        <w:bottom w:type="dxa" w:w="58"/>
        <w:right w:type="dxa" w:w="58"/>
      </w:tblCellMar>
    </w:tblPr>
    <w:tcPr>
      <w:vAlign w:val="center"/>
    </w:tcPr>
    <w:tblStylePr w:type="firstRow">
      <w:tblPr/>
      <w:tcPr>
        <w:tcBorders>
          <w:top w:color="auto" w:space="0" w:sz="4" w:val="single"/>
          <w:left w:val="nil"/>
          <w:bottom w:color="auto" w:space="0" w:sz="4" w:val="single"/>
          <w:right w:val="nil"/>
          <w:insideH w:val="nil"/>
          <w:insideV w:val="nil"/>
          <w:tl2br w:val="nil"/>
          <w:tr2bl w:val="nil"/>
        </w:tcBorders>
      </w:tcPr>
    </w:tblStylePr>
  </w:style>
  <w:style w:customStyle="1" w:styleId="DefinitionTerm" w:type="paragraph">
    <w:name w:val="Definition Term"/>
    <w:basedOn w:val="Normal"/>
    <w:next w:val="Definition"/>
    <w:pPr>
      <w:keepNext/>
      <w:keepLines/>
    </w:pPr>
    <w:rPr>
      <w:b/>
    </w:rPr>
  </w:style>
  <w:style w:customStyle="1" w:styleId="Definition" w:type="paragraph">
    <w:name w:val="Definition"/>
    <w:basedOn w:val="Normal"/>
  </w:style>
  <w:style w:styleId="Caption" w:type="paragraph">
    <w:name w:val="caption"/>
    <w:basedOn w:val="Normal"/>
    <w:link w:val="CaptionChar"/>
    <w:rsid w:val="003B7C65"/>
    <w:pPr>
      <w:keepNext/>
      <w:keepLines/>
      <w:spacing w:after="120"/>
    </w:pPr>
    <w:rPr>
      <w:i/>
    </w:rPr>
  </w:style>
  <w:style w:customStyle="1" w:styleId="TableCaption" w:type="paragraph">
    <w:name w:val="Table Caption"/>
    <w:basedOn w:val="Caption"/>
  </w:style>
  <w:style w:customStyle="1" w:styleId="ImageCaption" w:type="paragraph">
    <w:name w:val="Image Caption"/>
    <w:basedOn w:val="Caption"/>
  </w:style>
  <w:style w:customStyle="1" w:styleId="Figure" w:type="paragraph">
    <w:name w:val="Figure"/>
    <w:basedOn w:val="Normal"/>
    <w:link w:val="FigureChar"/>
    <w:rsid w:val="00D630B7"/>
    <w:pPr>
      <w:spacing w:line="240" w:lineRule="auto"/>
    </w:pPr>
  </w:style>
  <w:style w:customStyle="1" w:styleId="CaptionedFigure" w:type="paragraph">
    <w:name w:val="Captioned Figure"/>
    <w:basedOn w:val="Figure"/>
    <w:rsid w:val="00AE5BBA"/>
  </w:style>
  <w:style w:customStyle="1" w:styleId="CaptionChar" w:type="character">
    <w:name w:val="Caption Char"/>
    <w:basedOn w:val="DefaultParagraphFont"/>
    <w:link w:val="Caption"/>
    <w:rsid w:val="003B7C65"/>
    <w:rPr>
      <w:i/>
    </w:rPr>
  </w:style>
  <w:style w:customStyle="1" w:styleId="VerbatimChar" w:type="character">
    <w:name w:val="Verbatim Char"/>
    <w:basedOn w:val="CaptionChar"/>
    <w:link w:val="SourceCode"/>
    <w:rsid w:val="00036EDA"/>
    <w:rPr>
      <w:i w:val="0"/>
      <w:shd w:color="auto" w:fill="F1F3F5" w:val="clear"/>
    </w:rPr>
  </w:style>
  <w:style w:customStyle="1" w:styleId="SectionNumber" w:type="character">
    <w:name w:val="Section Number"/>
    <w:basedOn w:val="CaptionChar"/>
    <w:rPr>
      <w:i/>
    </w:rPr>
  </w:style>
  <w:style w:styleId="FootnoteReference" w:type="character">
    <w:name w:val="footnote reference"/>
    <w:basedOn w:val="CaptionChar"/>
    <w:rPr>
      <w:i/>
      <w:vertAlign w:val="superscript"/>
    </w:rPr>
  </w:style>
  <w:style w:styleId="Hyperlink" w:type="character">
    <w:name w:val="Hyperlink"/>
    <w:basedOn w:val="CaptionChar"/>
    <w:rsid w:val="00250BD5"/>
    <w:rPr>
      <w:i w:val="0"/>
      <w:color w:themeColor="accent1" w:val="4472C4"/>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2F5496"/>
    </w:rPr>
  </w:style>
  <w:style w:customStyle="1" w:styleId="BodyTextChar" w:type="character">
    <w:name w:val="Body Text Char"/>
    <w:basedOn w:val="DefaultParagraphFont"/>
    <w:link w:val="BodyText"/>
    <w:rsid w:val="0083560B"/>
  </w:style>
  <w:style w:customStyle="1" w:styleId="red" w:type="paragraph">
    <w:name w:val="red"/>
    <w:basedOn w:val="BodyText"/>
    <w:link w:val="redChar"/>
    <w:qFormat/>
    <w:rsid w:val="00385D19"/>
    <w:rPr>
      <w:color w:val="FF0000"/>
    </w:rPr>
  </w:style>
  <w:style w:customStyle="1" w:styleId="redChar" w:type="character">
    <w:name w:val="red Char"/>
    <w:basedOn w:val="BodyTextChar"/>
    <w:link w:val="red"/>
    <w:rsid w:val="00385D19"/>
    <w:rPr>
      <w:color w:val="FF0000"/>
    </w:rPr>
  </w:style>
  <w:style w:customStyle="1" w:styleId="SourceCode" w:type="paragraph">
    <w:name w:val="Source Code"/>
    <w:basedOn w:val="Normal"/>
    <w:link w:val="VerbatimChar"/>
    <w:rsid w:val="00036EDA"/>
    <w:pPr>
      <w:shd w:color="auto" w:fill="F1F3F5" w:val="clear"/>
      <w:wordWrap w:val="0"/>
      <w:spacing w:after="240" w:line="240" w:lineRule="auto"/>
      <w:contextualSpacing/>
    </w:pPr>
  </w:style>
  <w:style w:customStyle="1" w:styleId="KeywordTok" w:type="character">
    <w:name w:val="KeywordTok"/>
    <w:basedOn w:val="VerbatimChar"/>
    <w:rPr>
      <w:rFonts w:ascii="Consolas" w:hAnsi="Consolas"/>
      <w:i w:val="0"/>
      <w:color w:val="003B4F"/>
      <w:sz w:val="22"/>
      <w:shd w:color="auto" w:fill="F1F3F5" w:val="clear"/>
    </w:rPr>
  </w:style>
  <w:style w:customStyle="1" w:styleId="DataTypeTok" w:type="character">
    <w:name w:val="DataTypeTok"/>
    <w:basedOn w:val="VerbatimChar"/>
    <w:rPr>
      <w:rFonts w:ascii="Consolas" w:hAnsi="Consolas"/>
      <w:i w:val="0"/>
      <w:color w:val="AD0000"/>
      <w:sz w:val="22"/>
      <w:shd w:color="auto" w:fill="F1F3F5" w:val="clear"/>
    </w:rPr>
  </w:style>
  <w:style w:customStyle="1" w:styleId="DecValTok" w:type="character">
    <w:name w:val="DecValTok"/>
    <w:basedOn w:val="VerbatimChar"/>
    <w:rPr>
      <w:rFonts w:ascii="Consolas" w:hAnsi="Consolas"/>
      <w:i w:val="0"/>
      <w:color w:val="AD0000"/>
      <w:sz w:val="22"/>
      <w:shd w:color="auto" w:fill="F1F3F5" w:val="clear"/>
    </w:rPr>
  </w:style>
  <w:style w:customStyle="1" w:styleId="BaseNTok" w:type="character">
    <w:name w:val="BaseNTok"/>
    <w:basedOn w:val="VerbatimChar"/>
    <w:rPr>
      <w:rFonts w:ascii="Consolas" w:hAnsi="Consolas"/>
      <w:i w:val="0"/>
      <w:color w:val="AD0000"/>
      <w:sz w:val="22"/>
      <w:shd w:color="auto" w:fill="F1F3F5" w:val="clear"/>
    </w:rPr>
  </w:style>
  <w:style w:customStyle="1" w:styleId="FloatTok" w:type="character">
    <w:name w:val="FloatTok"/>
    <w:basedOn w:val="VerbatimChar"/>
    <w:rPr>
      <w:rFonts w:ascii="Consolas" w:hAnsi="Consolas"/>
      <w:i w:val="0"/>
      <w:color w:val="AD0000"/>
      <w:sz w:val="22"/>
      <w:shd w:color="auto" w:fill="F1F3F5" w:val="clear"/>
    </w:rPr>
  </w:style>
  <w:style w:customStyle="1" w:styleId="ConstantTok" w:type="character">
    <w:name w:val="ConstantTok"/>
    <w:basedOn w:val="VerbatimChar"/>
    <w:rPr>
      <w:rFonts w:ascii="Consolas" w:hAnsi="Consolas"/>
      <w:i w:val="0"/>
      <w:color w:val="8F5902"/>
      <w:sz w:val="22"/>
      <w:shd w:color="auto" w:fill="F1F3F5" w:val="clear"/>
    </w:rPr>
  </w:style>
  <w:style w:customStyle="1" w:styleId="CharTok" w:type="character">
    <w:name w:val="CharTok"/>
    <w:basedOn w:val="VerbatimChar"/>
    <w:rPr>
      <w:rFonts w:ascii="Consolas" w:hAnsi="Consolas"/>
      <w:i w:val="0"/>
      <w:color w:val="20794D"/>
      <w:sz w:val="22"/>
      <w:shd w:color="auto" w:fill="F1F3F5" w:val="clear"/>
    </w:rPr>
  </w:style>
  <w:style w:customStyle="1" w:styleId="SpecialCharTok" w:type="character">
    <w:name w:val="SpecialCharTok"/>
    <w:basedOn w:val="VerbatimChar"/>
    <w:rPr>
      <w:rFonts w:ascii="Consolas" w:hAnsi="Consolas"/>
      <w:i w:val="0"/>
      <w:color w:val="5E5E5E"/>
      <w:sz w:val="22"/>
      <w:shd w:color="auto" w:fill="F1F3F5" w:val="clear"/>
    </w:rPr>
  </w:style>
  <w:style w:customStyle="1" w:styleId="StringTok" w:type="character">
    <w:name w:val="StringTok"/>
    <w:basedOn w:val="VerbatimChar"/>
    <w:rPr>
      <w:rFonts w:ascii="Consolas" w:hAnsi="Consolas"/>
      <w:i w:val="0"/>
      <w:color w:val="20794D"/>
      <w:sz w:val="22"/>
      <w:shd w:color="auto" w:fill="F1F3F5" w:val="clear"/>
    </w:rPr>
  </w:style>
  <w:style w:customStyle="1" w:styleId="VerbatimStringTok" w:type="character">
    <w:name w:val="VerbatimStringTok"/>
    <w:basedOn w:val="VerbatimChar"/>
    <w:rPr>
      <w:rFonts w:ascii="Consolas" w:hAnsi="Consolas"/>
      <w:i w:val="0"/>
      <w:color w:val="20794D"/>
      <w:sz w:val="22"/>
      <w:shd w:color="auto" w:fill="F1F3F5" w:val="clear"/>
    </w:rPr>
  </w:style>
  <w:style w:customStyle="1" w:styleId="SpecialStringTok" w:type="character">
    <w:name w:val="SpecialStringTok"/>
    <w:basedOn w:val="VerbatimChar"/>
    <w:rPr>
      <w:rFonts w:ascii="Consolas" w:hAnsi="Consolas"/>
      <w:i w:val="0"/>
      <w:color w:val="20794D"/>
      <w:sz w:val="22"/>
      <w:shd w:color="auto" w:fill="F1F3F5" w:val="clear"/>
    </w:rPr>
  </w:style>
  <w:style w:customStyle="1" w:styleId="ImportTok" w:type="character">
    <w:name w:val="ImportTok"/>
    <w:basedOn w:val="VerbatimChar"/>
    <w:rPr>
      <w:rFonts w:ascii="Consolas" w:hAnsi="Consolas"/>
      <w:i w:val="0"/>
      <w:color w:val="00769E"/>
      <w:sz w:val="22"/>
      <w:shd w:color="auto" w:fill="F1F3F5" w:val="clear"/>
    </w:rPr>
  </w:style>
  <w:style w:customStyle="1" w:styleId="CommentTok" w:type="character">
    <w:name w:val="CommentTok"/>
    <w:basedOn w:val="VerbatimChar"/>
    <w:rPr>
      <w:rFonts w:ascii="Consolas" w:hAnsi="Consolas"/>
      <w:i w:val="0"/>
      <w:color w:val="5E5E5E"/>
      <w:sz w:val="22"/>
      <w:shd w:color="auto" w:fill="F1F3F5" w:val="clear"/>
    </w:rPr>
  </w:style>
  <w:style w:customStyle="1" w:styleId="DocumentationTok" w:type="character">
    <w:name w:val="DocumentationTok"/>
    <w:basedOn w:val="VerbatimChar"/>
    <w:rPr>
      <w:rFonts w:ascii="Consolas" w:hAnsi="Consolas"/>
      <w:i/>
      <w:color w:val="5E5E5E"/>
      <w:sz w:val="22"/>
      <w:shd w:color="auto" w:fill="F1F3F5" w:val="clear"/>
    </w:rPr>
  </w:style>
  <w:style w:customStyle="1" w:styleId="AnnotationTok" w:type="character">
    <w:name w:val="AnnotationTok"/>
    <w:basedOn w:val="VerbatimChar"/>
    <w:rPr>
      <w:rFonts w:ascii="Consolas" w:hAnsi="Consolas"/>
      <w:i w:val="0"/>
      <w:color w:val="5E5E5E"/>
      <w:sz w:val="22"/>
      <w:shd w:color="auto" w:fill="F1F3F5" w:val="clear"/>
    </w:rPr>
  </w:style>
  <w:style w:customStyle="1" w:styleId="CommentVarTok" w:type="character">
    <w:name w:val="CommentVarTok"/>
    <w:basedOn w:val="VerbatimChar"/>
    <w:rPr>
      <w:rFonts w:ascii="Consolas" w:hAnsi="Consolas"/>
      <w:i/>
      <w:color w:val="5E5E5E"/>
      <w:sz w:val="22"/>
      <w:shd w:color="auto" w:fill="F1F3F5" w:val="clear"/>
    </w:rPr>
  </w:style>
  <w:style w:customStyle="1" w:styleId="OtherTok" w:type="character">
    <w:name w:val="OtherTok"/>
    <w:basedOn w:val="VerbatimChar"/>
    <w:rPr>
      <w:rFonts w:ascii="Consolas" w:hAnsi="Consolas"/>
      <w:i w:val="0"/>
      <w:color w:val="003B4F"/>
      <w:sz w:val="22"/>
      <w:shd w:color="auto" w:fill="F1F3F5" w:val="clear"/>
    </w:rPr>
  </w:style>
  <w:style w:customStyle="1" w:styleId="FunctionTok" w:type="character">
    <w:name w:val="FunctionTok"/>
    <w:basedOn w:val="VerbatimChar"/>
    <w:rPr>
      <w:rFonts w:ascii="Consolas" w:hAnsi="Consolas"/>
      <w:i w:val="0"/>
      <w:color w:val="4758AB"/>
      <w:sz w:val="22"/>
      <w:shd w:color="auto" w:fill="F1F3F5" w:val="clear"/>
    </w:rPr>
  </w:style>
  <w:style w:customStyle="1" w:styleId="VariableTok" w:type="character">
    <w:name w:val="VariableTok"/>
    <w:basedOn w:val="VerbatimChar"/>
    <w:rPr>
      <w:rFonts w:ascii="Consolas" w:hAnsi="Consolas"/>
      <w:i w:val="0"/>
      <w:color w:val="111111"/>
      <w:sz w:val="22"/>
      <w:shd w:color="auto" w:fill="F1F3F5" w:val="clear"/>
    </w:rPr>
  </w:style>
  <w:style w:customStyle="1" w:styleId="ControlFlowTok" w:type="character">
    <w:name w:val="ControlFlowTok"/>
    <w:basedOn w:val="VerbatimChar"/>
    <w:rPr>
      <w:rFonts w:ascii="Consolas" w:hAnsi="Consolas"/>
      <w:i w:val="0"/>
      <w:color w:val="003B4F"/>
      <w:sz w:val="22"/>
      <w:shd w:color="auto" w:fill="F1F3F5" w:val="clear"/>
    </w:rPr>
  </w:style>
  <w:style w:customStyle="1" w:styleId="OperatorTok" w:type="character">
    <w:name w:val="OperatorTok"/>
    <w:basedOn w:val="VerbatimChar"/>
    <w:rPr>
      <w:rFonts w:ascii="Consolas" w:hAnsi="Consolas"/>
      <w:i w:val="0"/>
      <w:color w:val="5E5E5E"/>
      <w:sz w:val="22"/>
      <w:shd w:color="auto" w:fill="F1F3F5" w:val="clear"/>
    </w:rPr>
  </w:style>
  <w:style w:customStyle="1" w:styleId="BuiltInTok" w:type="character">
    <w:name w:val="BuiltInTok"/>
    <w:basedOn w:val="VerbatimChar"/>
    <w:rPr>
      <w:rFonts w:ascii="Consolas" w:hAnsi="Consolas"/>
      <w:i w:val="0"/>
      <w:color w:val="003B4F"/>
      <w:sz w:val="22"/>
      <w:shd w:color="auto" w:fill="F1F3F5" w:val="clear"/>
    </w:rPr>
  </w:style>
  <w:style w:customStyle="1" w:styleId="ExtensionTok" w:type="character">
    <w:name w:val="ExtensionTok"/>
    <w:basedOn w:val="VerbatimChar"/>
    <w:rPr>
      <w:rFonts w:ascii="Consolas" w:hAnsi="Consolas"/>
      <w:i w:val="0"/>
      <w:color w:val="003B4F"/>
      <w:sz w:val="22"/>
      <w:shd w:color="auto" w:fill="F1F3F5" w:val="clear"/>
    </w:rPr>
  </w:style>
  <w:style w:customStyle="1" w:styleId="PreprocessorTok" w:type="character">
    <w:name w:val="PreprocessorTok"/>
    <w:basedOn w:val="VerbatimChar"/>
    <w:rPr>
      <w:rFonts w:ascii="Consolas" w:hAnsi="Consolas"/>
      <w:i w:val="0"/>
      <w:color w:val="AD0000"/>
      <w:sz w:val="22"/>
      <w:shd w:color="auto" w:fill="F1F3F5" w:val="clear"/>
    </w:rPr>
  </w:style>
  <w:style w:customStyle="1" w:styleId="AttributeTok" w:type="character">
    <w:name w:val="AttributeTok"/>
    <w:basedOn w:val="VerbatimChar"/>
    <w:rPr>
      <w:rFonts w:ascii="Consolas" w:hAnsi="Consolas"/>
      <w:i w:val="0"/>
      <w:color w:val="657422"/>
      <w:sz w:val="22"/>
      <w:shd w:color="auto" w:fill="F1F3F5" w:val="clear"/>
    </w:rPr>
  </w:style>
  <w:style w:customStyle="1" w:styleId="RegionMarkerTok" w:type="character">
    <w:name w:val="RegionMarkerTok"/>
    <w:basedOn w:val="VerbatimChar"/>
    <w:rPr>
      <w:rFonts w:ascii="Consolas" w:hAnsi="Consolas"/>
      <w:i w:val="0"/>
      <w:color w:val="003B4F"/>
      <w:sz w:val="22"/>
      <w:shd w:color="auto" w:fill="F1F3F5" w:val="clear"/>
    </w:rPr>
  </w:style>
  <w:style w:customStyle="1" w:styleId="InformationTok" w:type="character">
    <w:name w:val="InformationTok"/>
    <w:basedOn w:val="VerbatimChar"/>
    <w:rPr>
      <w:rFonts w:ascii="Consolas" w:hAnsi="Consolas"/>
      <w:i w:val="0"/>
      <w:color w:val="5E5E5E"/>
      <w:sz w:val="22"/>
      <w:shd w:color="auto" w:fill="F1F3F5" w:val="clear"/>
    </w:rPr>
  </w:style>
  <w:style w:customStyle="1" w:styleId="WarningTok" w:type="character">
    <w:name w:val="WarningTok"/>
    <w:basedOn w:val="VerbatimChar"/>
    <w:rPr>
      <w:rFonts w:ascii="Consolas" w:hAnsi="Consolas"/>
      <w:i/>
      <w:color w:val="5E5E5E"/>
      <w:sz w:val="22"/>
      <w:shd w:color="auto" w:fill="F1F3F5" w:val="clear"/>
    </w:rPr>
  </w:style>
  <w:style w:customStyle="1" w:styleId="AlertTok" w:type="character">
    <w:name w:val="AlertTok"/>
    <w:basedOn w:val="VerbatimChar"/>
    <w:rPr>
      <w:rFonts w:ascii="Consolas" w:hAnsi="Consolas"/>
      <w:i w:val="0"/>
      <w:color w:val="AD0000"/>
      <w:sz w:val="22"/>
      <w:shd w:color="auto" w:fill="F1F3F5" w:val="clear"/>
    </w:rPr>
  </w:style>
  <w:style w:customStyle="1" w:styleId="ErrorTok" w:type="character">
    <w:name w:val="ErrorTok"/>
    <w:basedOn w:val="VerbatimChar"/>
    <w:rPr>
      <w:rFonts w:ascii="Consolas" w:hAnsi="Consolas"/>
      <w:i w:val="0"/>
      <w:color w:val="AD0000"/>
      <w:sz w:val="22"/>
      <w:shd w:color="auto" w:fill="F1F3F5" w:val="clear"/>
    </w:rPr>
  </w:style>
  <w:style w:customStyle="1" w:styleId="NormalTok" w:type="character">
    <w:name w:val="NormalTok"/>
    <w:basedOn w:val="VerbatimChar"/>
    <w:rPr>
      <w:rFonts w:ascii="Consolas" w:hAnsi="Consolas"/>
      <w:i w:val="0"/>
      <w:color w:val="003B4F"/>
      <w:sz w:val="22"/>
      <w:shd w:color="auto" w:fill="F1F3F5" w:val="clear"/>
    </w:rPr>
  </w:style>
  <w:style w:styleId="Header" w:type="paragraph">
    <w:name w:val="header"/>
    <w:basedOn w:val="Normal"/>
    <w:link w:val="HeaderChar"/>
    <w:uiPriority w:val="99"/>
    <w:unhideWhenUsed/>
    <w:rsid w:val="00340B9E"/>
    <w:pPr>
      <w:tabs>
        <w:tab w:pos="4680" w:val="center"/>
        <w:tab w:pos="9360" w:val="right"/>
      </w:tabs>
    </w:pPr>
  </w:style>
  <w:style w:customStyle="1" w:styleId="HeaderChar" w:type="character">
    <w:name w:val="Header Char"/>
    <w:basedOn w:val="DefaultParagraphFont"/>
    <w:link w:val="Header"/>
    <w:uiPriority w:val="99"/>
    <w:rsid w:val="00340B9E"/>
  </w:style>
  <w:style w:styleId="Footer" w:type="paragraph">
    <w:name w:val="footer"/>
    <w:basedOn w:val="Normal"/>
    <w:link w:val="FooterChar"/>
    <w:unhideWhenUsed/>
    <w:rsid w:val="00340B9E"/>
    <w:pPr>
      <w:tabs>
        <w:tab w:pos="4680" w:val="center"/>
        <w:tab w:pos="9360" w:val="right"/>
      </w:tabs>
    </w:pPr>
  </w:style>
  <w:style w:customStyle="1" w:styleId="FooterChar" w:type="character">
    <w:name w:val="Footer Char"/>
    <w:basedOn w:val="DefaultParagraphFont"/>
    <w:link w:val="Footer"/>
    <w:rsid w:val="00340B9E"/>
  </w:style>
  <w:style w:customStyle="1" w:styleId="APAEnumerated" w:type="paragraph">
    <w:name w:val="APAEnumerated"/>
    <w:basedOn w:val="BodyText"/>
    <w:link w:val="APAEnumeratedChar"/>
    <w:qFormat/>
    <w:rsid w:val="00717963"/>
    <w:pPr>
      <w:numPr>
        <w:numId w:val="1"/>
      </w:numPr>
      <w:ind w:left="792"/>
    </w:pPr>
  </w:style>
  <w:style w:customStyle="1" w:styleId="TitleChar" w:type="character">
    <w:name w:val="Title Char"/>
    <w:basedOn w:val="DefaultParagraphFont"/>
    <w:link w:val="Title"/>
    <w:rsid w:val="00010E42"/>
    <w:rPr>
      <w:b/>
      <w:bCs/>
    </w:rPr>
  </w:style>
  <w:style w:customStyle="1" w:styleId="FigureTitle" w:type="paragraph">
    <w:name w:val="FigureTitle"/>
    <w:basedOn w:val="Figure"/>
    <w:link w:val="FigureTitleChar"/>
    <w:qFormat/>
    <w:rsid w:val="00064E3B"/>
    <w:pPr>
      <w:keepNext/>
      <w:keepLines/>
      <w:spacing w:line="480" w:lineRule="auto"/>
      <w:outlineLvl w:val="0"/>
    </w:pPr>
    <w:rPr>
      <w:b/>
    </w:rPr>
  </w:style>
  <w:style w:customStyle="1" w:styleId="FigureChar" w:type="character">
    <w:name w:val="Figure Char"/>
    <w:basedOn w:val="DefaultParagraphFont"/>
    <w:link w:val="Figure"/>
    <w:rsid w:val="00D630B7"/>
  </w:style>
  <w:style w:customStyle="1" w:styleId="FigureTitleChar" w:type="character">
    <w:name w:val="FigureTitle Char"/>
    <w:basedOn w:val="FigureChar"/>
    <w:link w:val="FigureTitle"/>
    <w:rsid w:val="00064E3B"/>
    <w:rPr>
      <w:b/>
    </w:rPr>
  </w:style>
  <w:style w:customStyle="1" w:styleId="FigureNote" w:type="paragraph">
    <w:name w:val="FigureNote"/>
    <w:basedOn w:val="BodyText"/>
    <w:link w:val="FigureNoteChar"/>
    <w:qFormat/>
    <w:rsid w:val="00A946AC"/>
    <w:pPr>
      <w:spacing w:before="60"/>
      <w:ind w:firstLine="0"/>
    </w:pPr>
  </w:style>
  <w:style w:customStyle="1" w:styleId="FigureNoteChar" w:type="character">
    <w:name w:val="FigureNote Char"/>
    <w:basedOn w:val="BodyTextChar"/>
    <w:link w:val="FigureNote"/>
    <w:rsid w:val="00A946AC"/>
  </w:style>
  <w:style w:customStyle="1" w:styleId="APAEnumeratedChar" w:type="character">
    <w:name w:val="APAEnumerated Char"/>
    <w:basedOn w:val="BodyTextChar"/>
    <w:link w:val="APAEnumerated"/>
    <w:rsid w:val="00717963"/>
  </w:style>
  <w:style w:customStyle="1" w:styleId="FigureWithNote" w:type="paragraph">
    <w:name w:val="FigureWithNote"/>
    <w:basedOn w:val="Figure"/>
    <w:link w:val="FigureWithNoteChar"/>
    <w:qFormat/>
    <w:rsid w:val="00B42EBE"/>
    <w:pPr>
      <w:keepNext/>
    </w:pPr>
  </w:style>
  <w:style w:customStyle="1" w:styleId="FigureWithNoteChar" w:type="character">
    <w:name w:val="FigureWithNote Char"/>
    <w:basedOn w:val="FigureChar"/>
    <w:link w:val="FigureWithNote"/>
    <w:rsid w:val="00B42EBE"/>
  </w:style>
  <w:style w:customStyle="1" w:styleId="FigureWithoutNote" w:type="paragraph">
    <w:name w:val="FigureWithoutNote"/>
    <w:basedOn w:val="Figure"/>
    <w:link w:val="FigureWithoutNoteChar"/>
    <w:qFormat/>
    <w:rsid w:val="00C304F7"/>
    <w:pPr>
      <w:spacing w:after="240"/>
    </w:pPr>
  </w:style>
  <w:style w:customStyle="1" w:styleId="FigureWithoutNoteChar" w:type="character">
    <w:name w:val="FigureWithoutNote Char"/>
    <w:basedOn w:val="FigureChar"/>
    <w:link w:val="FigureWithoutNote"/>
    <w:rsid w:val="00C304F7"/>
  </w:style>
  <w:style w:customStyle="1" w:styleId="AuthorNote" w:type="paragraph">
    <w:name w:val="AuthorNote"/>
    <w:basedOn w:val="Author"/>
    <w:qFormat/>
    <w:rsid w:val="00C84525"/>
    <w:pPr>
      <w:keepNext w:val="0"/>
      <w:keepLines w:val="0"/>
      <w:spacing w:after="0" w:line="480" w:lineRule="auto"/>
      <w:ind w:firstLine="720"/>
      <w:jc w:val="left"/>
    </w:pPr>
  </w:style>
  <w:style w:customStyle="1" w:styleId="AfterWithoutNote" w:type="paragraph">
    <w:name w:val="AfterWithoutNote"/>
    <w:basedOn w:val="BodyText"/>
    <w:link w:val="AfterWithoutNoteChar"/>
    <w:qFormat/>
    <w:rsid w:val="00BB3FEC"/>
    <w:pPr>
      <w:spacing w:before="240"/>
    </w:pPr>
  </w:style>
  <w:style w:customStyle="1" w:styleId="AfterWithoutNoteChar" w:type="character">
    <w:name w:val="AfterWithoutNote Char"/>
    <w:basedOn w:val="BodyTextChar"/>
    <w:link w:val="AfterWithoutNote"/>
    <w:rsid w:val="00BB3FEC"/>
  </w:style>
  <w:style w:customStyle="1" w:styleId="NoIndent" w:type="paragraph">
    <w:name w:val="NoIndent"/>
    <w:basedOn w:val="BodyText"/>
    <w:link w:val="NoIndentChar"/>
    <w:qFormat/>
    <w:rsid w:val="004023D3"/>
    <w:pPr>
      <w:ind w:firstLine="0"/>
    </w:pPr>
  </w:style>
  <w:style w:customStyle="1" w:styleId="NoIndentChar" w:type="character">
    <w:name w:val="NoIndent Char"/>
    <w:basedOn w:val="BodyTextChar"/>
    <w:link w:val="NoIndent"/>
    <w:rsid w:val="004023D3"/>
  </w:style>
  <w:style w:customStyle="1" w:styleId="NextBlockText" w:type="paragraph">
    <w:name w:val="NextBlockText"/>
    <w:basedOn w:val="BlockText"/>
    <w:link w:val="NextBlockTextChar"/>
    <w:qFormat/>
    <w:rsid w:val="00065938"/>
    <w:pPr>
      <w:ind w:firstLine="720"/>
    </w:pPr>
  </w:style>
  <w:style w:customStyle="1" w:styleId="BlockTextChar" w:type="character">
    <w:name w:val="Block Text Char"/>
    <w:basedOn w:val="BodyTextChar"/>
    <w:link w:val="BlockText"/>
    <w:uiPriority w:val="9"/>
    <w:rsid w:val="00065938"/>
  </w:style>
  <w:style w:customStyle="1" w:styleId="NextBlockTextChar" w:type="character">
    <w:name w:val="NextBlockText Char"/>
    <w:basedOn w:val="BlockTextChar"/>
    <w:link w:val="NextBlockText"/>
    <w:rsid w:val="00065938"/>
  </w:style>
  <w:style w:styleId="PlaceholderText" w:type="character">
    <w:name w:val="Placeholder Text"/>
    <w:basedOn w:val="DefaultParagraphFont"/>
    <w:semiHidden/>
    <w:rsid w:val="00BB5C76"/>
    <w:rPr>
      <w:color w:val="666666"/>
    </w:rPr>
  </w:style>
  <w:style w:customStyle="1" w:styleId="H4" w:type="character">
    <w:name w:val="H4"/>
    <w:basedOn w:val="DefaultParagraphFont"/>
    <w:uiPriority w:val="1"/>
    <w:qFormat/>
    <w:rsid w:val="00EA785F"/>
    <w:rPr>
      <w:b/>
    </w:rPr>
  </w:style>
  <w:style w:customStyle="1" w:styleId="H5" w:type="character">
    <w:name w:val="H5"/>
    <w:basedOn w:val="H4"/>
    <w:uiPriority w:val="1"/>
    <w:qFormat/>
    <w:rsid w:val="00EA785F"/>
    <w:rPr>
      <w:b/>
      <w:i/>
    </w:rPr>
  </w:style>
  <w:style w:customStyle="1" w:styleId="AbstractFirstParagraph" w:type="paragraph">
    <w:name w:val="AbstractFirstParagraph"/>
    <w:basedOn w:val="Abstract"/>
    <w:link w:val="AbstractFirstParagraphChar"/>
    <w:qFormat/>
    <w:rsid w:val="00EA7B31"/>
    <w:pPr>
      <w:ind w:firstLine="0"/>
    </w:pPr>
  </w:style>
  <w:style w:customStyle="1" w:styleId="AbstractChar" w:type="character">
    <w:name w:val="Abstract Char"/>
    <w:basedOn w:val="DefaultParagraphFont"/>
    <w:link w:val="Abstract"/>
    <w:rsid w:val="005528BA"/>
    <w:rPr>
      <w:szCs w:val="20"/>
    </w:rPr>
  </w:style>
  <w:style w:customStyle="1" w:styleId="AbstractFirstParagraphChar" w:type="character">
    <w:name w:val="AbstractFirstParagraph Char"/>
    <w:basedOn w:val="AbstractChar"/>
    <w:link w:val="AbstractFirstParagraph"/>
    <w:rsid w:val="00EA7B31"/>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Relationships xmlns="http://schemas.openxmlformats.org/package/2006/relationships"><Relationship Type="http://schemas.openxmlformats.org/officeDocument/2006/relationships/numbering" Id="rId21" Target="numbering.xml" /><Relationship Type="http://schemas.openxmlformats.org/officeDocument/2006/relationships/styles" Id="rId20" Target="styles.xml" /><Relationship Type="http://schemas.openxmlformats.org/officeDocument/2006/relationships/settings" Id="rId19" Target="settings.xml" /><Relationship Type="http://schemas.openxmlformats.org/officeDocument/2006/relationships/webSettings" Id="rId18" Target="webSettings.xml" /><Relationship Type="http://schemas.openxmlformats.org/officeDocument/2006/relationships/fontTable" Id="rId17" Target="fontTable.xml" /><Relationship Type="http://schemas.openxmlformats.org/officeDocument/2006/relationships/theme" Id="rId16" Target="theme/theme1.xml" /><Relationship Type="http://schemas.openxmlformats.org/officeDocument/2006/relationships/footnotes" Id="rId15" Target="footnotes.xml" /><Relationship Type="http://schemas.openxmlformats.org/officeDocument/2006/relationships/comments" Id="rId14" Target="comments.xml" /><Relationship Id="rId8" Target="header1.xml" Type="http://schemas.openxmlformats.org/officeDocument/2006/relationships/header" /><Relationship Id="rId13" Target="footer3.xml" Type="http://schemas.openxmlformats.org/officeDocument/2006/relationships/footer" /><Relationship Id="rId12" Target="header3.xml" Type="http://schemas.openxmlformats.org/officeDocument/2006/relationships/header" /><Relationship Id="rId11" Target="footer2.xml" Type="http://schemas.openxmlformats.org/officeDocument/2006/relationships/footer" /><Relationship Id="rId10" Target="footer1.xml" Type="http://schemas.openxmlformats.org/officeDocument/2006/relationships/footer" /><Relationship Id="rId9" Target="header2.xml" Type="http://schemas.openxmlformats.org/officeDocument/2006/relationships/header" /><Relationship Type="http://schemas.openxmlformats.org/officeDocument/2006/relationships/image" Id="rId68" Target="media/rId68.jpg" /><Relationship Type="http://schemas.openxmlformats.org/officeDocument/2006/relationships/image" Id="rId61" Target="media/rId61.jpg" /><Relationship Type="http://schemas.openxmlformats.org/officeDocument/2006/relationships/image" Id="rId49" Target="media/rId49.jpg" /><Relationship Type="http://schemas.openxmlformats.org/officeDocument/2006/relationships/image" Id="rId57" Target="media/rId57.jpg" /><Relationship Type="http://schemas.openxmlformats.org/officeDocument/2006/relationships/image" Id="rId53" Target="media/rId53.jpg" /><Relationship Type="http://schemas.openxmlformats.org/officeDocument/2006/relationships/image" Id="rId23" Target="media/rId23.svg" /><Relationship Type="http://schemas.openxmlformats.org/officeDocument/2006/relationships/image" Id="rId26" Target="media/rId26.png" /><Relationship Type="http://schemas.openxmlformats.org/officeDocument/2006/relationships/hyperlink" Id="rId79" Target="https://CRAN.R-project.org/package=psych" TargetMode="External" /><Relationship Type="http://schemas.openxmlformats.org/officeDocument/2006/relationships/hyperlink" Id="rId77" Target="https://doi.org/10.1007/bf02296207" TargetMode="External" /><Relationship Type="http://schemas.openxmlformats.org/officeDocument/2006/relationships/hyperlink" Id="rId73" Target="https://doi.org/10.1007/bf02310555" TargetMode="External" /><Relationship Type="http://schemas.openxmlformats.org/officeDocument/2006/relationships/hyperlink" Id="rId83" Target="https://doi.org/10.1037/0022-0167.54.1.40" TargetMode="External" /><Relationship Type="http://schemas.openxmlformats.org/officeDocument/2006/relationships/hyperlink" Id="rId75" Target="https://doi.org/10.1177/014662168701100107" TargetMode="External" /><Relationship Type="http://schemas.openxmlformats.org/officeDocument/2006/relationships/hyperlink" Id="rId81" Target="https://doi.org/10.18637/jss.v048.i02" TargetMode="External" /><Relationship Type="http://schemas.openxmlformats.org/officeDocument/2006/relationships/hyperlink" Id="rId31" Target="https://github.com/josefmana/StigHelp.git" TargetMode="External" /><Relationship Type="http://schemas.openxmlformats.org/officeDocument/2006/relationships/hyperlink" Id="rId85" Target="https://github.com/taiyun/corrplot" TargetMode="External" /><Relationship Type="http://schemas.openxmlformats.org/officeDocument/2006/relationships/hyperlink" Id="rId28" Target="https://orcid.org/0000-0002-7817-3978" TargetMode="External" /></Relationships>
</file>

<file path=word/_rels/footnotes.xml.rels><?xml version="1.0" encoding="UTF-8"?><Relationships xmlns="http://schemas.openxmlformats.org/package/2006/relationships"><Relationship Type="http://schemas.openxmlformats.org/officeDocument/2006/relationships/hyperlink" Id="rId79" Target="https://CRAN.R-project.org/package=psych" TargetMode="External" /><Relationship Type="http://schemas.openxmlformats.org/officeDocument/2006/relationships/hyperlink" Id="rId77" Target="https://doi.org/10.1007/bf02296207" TargetMode="External" /><Relationship Type="http://schemas.openxmlformats.org/officeDocument/2006/relationships/hyperlink" Id="rId73" Target="https://doi.org/10.1007/bf02310555" TargetMode="External" /><Relationship Type="http://schemas.openxmlformats.org/officeDocument/2006/relationships/hyperlink" Id="rId83" Target="https://doi.org/10.1037/0022-0167.54.1.40" TargetMode="External" /><Relationship Type="http://schemas.openxmlformats.org/officeDocument/2006/relationships/hyperlink" Id="rId75" Target="https://doi.org/10.1177/014662168701100107" TargetMode="External" /><Relationship Type="http://schemas.openxmlformats.org/officeDocument/2006/relationships/hyperlink" Id="rId81" Target="https://doi.org/10.18637/jss.v048.i02" TargetMode="External" /><Relationship Type="http://schemas.openxmlformats.org/officeDocument/2006/relationships/hyperlink" Id="rId31" Target="https://github.com/josefmana/StigHelp.git" TargetMode="External" /><Relationship Type="http://schemas.openxmlformats.org/officeDocument/2006/relationships/hyperlink" Id="rId85" Target="https://github.com/taiyun/corrplot" TargetMode="External" /><Relationship Type="http://schemas.openxmlformats.org/officeDocument/2006/relationships/hyperlink" Id="rId28" Target="https://orcid.org/0000-0002-7817-397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
      <a:majorFont>
        <a:latin typeface="Times New Roman"/>
        <a:ea typeface=""/>
        <a:cs typeface=""/>
      </a:majorFont>
      <a:minorFont>
        <a:latin typeface="Times New Roman"/>
        <a:ea typeface=""/>
        <a:cs typeface=""/>
      </a:minorFont>
    </a:fontScheme>
    <a:fmtScheme name="Inset">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205</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Groovy Title</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WELL STATS</dc:description>
  <cp:keywords/>
  <dcterms:created xsi:type="dcterms:W3CDTF">2026-09-12T14:05:15Z</dcterms:created>
  <dcterms:modified xsi:type="dcterms:W3CDTF">2026-09-12T14:05:15Z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ffiliations">
    <vt:lpwstr/>
  </property>
  <property fmtid="{D5CDD505-2E9C-101B-9397-08002B2CF9AE}" pid="3" name="affiliationsdifferent">
    <vt:lpwstr>False</vt:lpwstr>
  </property>
  <property fmtid="{D5CDD505-2E9C-101B-9397-08002B2CF9AE}" pid="4" name="apaauthor">
    <vt:lpwstr/>
  </property>
  <property fmtid="{D5CDD505-2E9C-101B-9397-08002B2CF9AE}" pid="5" name="apatitle">
    <vt:lpwstr>Well being statistics</vt:lpwstr>
  </property>
  <property fmtid="{D5CDD505-2E9C-101B-9397-08002B2CF9AE}" pid="6" name="apatitledisplay">
    <vt:lpwstr>Well being statistics</vt:lpwstr>
  </property>
  <property fmtid="{D5CDD505-2E9C-101B-9397-08002B2CF9AE}" pid="7" name="authors">
    <vt:lpwstr/>
  </property>
  <property fmtid="{D5CDD505-2E9C-101B-9397-08002B2CF9AE}" pid="8" name="biblio-config">
    <vt:lpwstr>True</vt:lpwstr>
  </property>
  <property fmtid="{D5CDD505-2E9C-101B-9397-08002B2CF9AE}" pid="9" name="by-affiliation">
    <vt:lpwstr/>
  </property>
  <property fmtid="{D5CDD505-2E9C-101B-9397-08002B2CF9AE}" pid="10" name="by-author">
    <vt:lpwstr/>
  </property>
  <property fmtid="{D5CDD505-2E9C-101B-9397-08002B2CF9AE}" pid="11" name="cap-location">
    <vt:lpwstr>top</vt:lpwstr>
  </property>
  <property fmtid="{D5CDD505-2E9C-101B-9397-08002B2CF9AE}" pid="12" name="crossref">
    <vt:lpwstr/>
  </property>
  <property fmtid="{D5CDD505-2E9C-101B-9397-08002B2CF9AE}" pid="13" name="csl">
    <vt:lpwstr>_extensions/wjschne/apaquarto/apa.csl</vt:lpwstr>
  </property>
  <property fmtid="{D5CDD505-2E9C-101B-9397-08002B2CF9AE}" pid="14" name="documentmode">
    <vt:lpwstr>man</vt:lpwstr>
  </property>
  <property fmtid="{D5CDD505-2E9C-101B-9397-08002B2CF9AE}" pid="15" name="fig-cap-location">
    <vt:lpwstr>top</vt:lpwstr>
  </property>
  <property fmtid="{D5CDD505-2E9C-101B-9397-08002B2CF9AE}" pid="16" name="header-includes">
    <vt:lpwstr/>
  </property>
  <property fmtid="{D5CDD505-2E9C-101B-9397-08002B2CF9AE}" pid="17" name="include-after">
    <vt:lpwstr/>
  </property>
  <property fmtid="{D5CDD505-2E9C-101B-9397-08002B2CF9AE}" pid="18" name="include-before">
    <vt:lpwstr/>
  </property>
  <property fmtid="{D5CDD505-2E9C-101B-9397-08002B2CF9AE}" pid="19" name="knitr">
    <vt:lpwstr/>
  </property>
  <property fmtid="{D5CDD505-2E9C-101B-9397-08002B2CF9AE}" pid="20" name="labels">
    <vt:lpwstr/>
  </property>
  <property fmtid="{D5CDD505-2E9C-101B-9397-08002B2CF9AE}" pid="21" name="language">
    <vt:lpwstr/>
  </property>
  <property fmtid="{D5CDD505-2E9C-101B-9397-08002B2CF9AE}" pid="22" name="link-citations">
    <vt:lpwstr>True</vt:lpwstr>
  </property>
  <property fmtid="{D5CDD505-2E9C-101B-9397-08002B2CF9AE}" pid="23" name="no-ampersand-parenthetical">
    <vt:lpwstr>False</vt:lpwstr>
  </property>
  <property fmtid="{D5CDD505-2E9C-101B-9397-08002B2CF9AE}" pid="24" name="number-depth">
    <vt:lpwstr>3</vt:lpwstr>
  </property>
  <property fmtid="{D5CDD505-2E9C-101B-9397-08002B2CF9AE}" pid="25" name="numbersections">
    <vt:lpwstr>False</vt:lpwstr>
  </property>
  <property fmtid="{D5CDD505-2E9C-101B-9397-08002B2CF9AE}" pid="26" name="oneaffiliation">
    <vt:lpwstr>True</vt:lpwstr>
  </property>
  <property fmtid="{D5CDD505-2E9C-101B-9397-08002B2CF9AE}" pid="27" name="oneauthor">
    <vt:lpwstr>True</vt:lpwstr>
  </property>
  <property fmtid="{D5CDD505-2E9C-101B-9397-08002B2CF9AE}" pid="28" name="references">
    <vt:lpwstr/>
  </property>
  <property fmtid="{D5CDD505-2E9C-101B-9397-08002B2CF9AE}" pid="29" name="revealjs-plugins">
    <vt:lpwstr/>
  </property>
  <property fmtid="{D5CDD505-2E9C-101B-9397-08002B2CF9AE}" pid="30" name="shorttitle">
    <vt:lpwstr>WELL STATS</vt:lpwstr>
  </property>
  <property fmtid="{D5CDD505-2E9C-101B-9397-08002B2CF9AE}" pid="31" name="suppress-abstract">
    <vt:lpwstr>False</vt:lpwstr>
  </property>
  <property fmtid="{D5CDD505-2E9C-101B-9397-08002B2CF9AE}" pid="32" name="suppress-affiliation">
    <vt:lpwstr>False</vt:lpwstr>
  </property>
  <property fmtid="{D5CDD505-2E9C-101B-9397-08002B2CF9AE}" pid="33" name="suppress-author">
    <vt:lpwstr>False</vt:lpwstr>
  </property>
  <property fmtid="{D5CDD505-2E9C-101B-9397-08002B2CF9AE}" pid="34" name="suppress-author-note">
    <vt:lpwstr>False</vt:lpwstr>
  </property>
  <property fmtid="{D5CDD505-2E9C-101B-9397-08002B2CF9AE}" pid="35" name="suppress-corresponding-address">
    <vt:lpwstr>False</vt:lpwstr>
  </property>
  <property fmtid="{D5CDD505-2E9C-101B-9397-08002B2CF9AE}" pid="36" name="suppress-corresponding-affiliation-name">
    <vt:lpwstr>False</vt:lpwstr>
  </property>
  <property fmtid="{D5CDD505-2E9C-101B-9397-08002B2CF9AE}" pid="37" name="suppress-corresponding-city">
    <vt:lpwstr>False</vt:lpwstr>
  </property>
  <property fmtid="{D5CDD505-2E9C-101B-9397-08002B2CF9AE}" pid="38" name="suppress-corresponding-country">
    <vt:lpwstr>False</vt:lpwstr>
  </property>
  <property fmtid="{D5CDD505-2E9C-101B-9397-08002B2CF9AE}" pid="39" name="suppress-corresponding-department">
    <vt:lpwstr>False</vt:lpwstr>
  </property>
  <property fmtid="{D5CDD505-2E9C-101B-9397-08002B2CF9AE}" pid="40" name="suppress-corresponding-email">
    <vt:lpwstr>False</vt:lpwstr>
  </property>
  <property fmtid="{D5CDD505-2E9C-101B-9397-08002B2CF9AE}" pid="41" name="suppress-corresponding-group">
    <vt:lpwstr>False</vt:lpwstr>
  </property>
  <property fmtid="{D5CDD505-2E9C-101B-9397-08002B2CF9AE}" pid="42" name="suppress-corresponding-paragraph">
    <vt:lpwstr>False</vt:lpwstr>
  </property>
  <property fmtid="{D5CDD505-2E9C-101B-9397-08002B2CF9AE}" pid="43" name="suppress-corresponding-postal-code">
    <vt:lpwstr>False</vt:lpwstr>
  </property>
  <property fmtid="{D5CDD505-2E9C-101B-9397-08002B2CF9AE}" pid="44" name="suppress-corresponding-region">
    <vt:lpwstr>False</vt:lpwstr>
  </property>
  <property fmtid="{D5CDD505-2E9C-101B-9397-08002B2CF9AE}" pid="45" name="suppress-credit-statement">
    <vt:lpwstr>False</vt:lpwstr>
  </property>
  <property fmtid="{D5CDD505-2E9C-101B-9397-08002B2CF9AE}" pid="46" name="suppress-disclosures-paragraph">
    <vt:lpwstr>False</vt:lpwstr>
  </property>
  <property fmtid="{D5CDD505-2E9C-101B-9397-08002B2CF9AE}" pid="47" name="suppress-impact-statement">
    <vt:lpwstr>False</vt:lpwstr>
  </property>
  <property fmtid="{D5CDD505-2E9C-101B-9397-08002B2CF9AE}" pid="48" name="suppress-keywords">
    <vt:lpwstr>False</vt:lpwstr>
  </property>
  <property fmtid="{D5CDD505-2E9C-101B-9397-08002B2CF9AE}" pid="49" name="suppress-orcid">
    <vt:lpwstr>False</vt:lpwstr>
  </property>
  <property fmtid="{D5CDD505-2E9C-101B-9397-08002B2CF9AE}" pid="50" name="suppress-short-title">
    <vt:lpwstr>False</vt:lpwstr>
  </property>
  <property fmtid="{D5CDD505-2E9C-101B-9397-08002B2CF9AE}" pid="51" name="suppress-status-change-paragraph">
    <vt:lpwstr>False</vt:lpwstr>
  </property>
  <property fmtid="{D5CDD505-2E9C-101B-9397-08002B2CF9AE}" pid="52" name="suppress-title">
    <vt:lpwstr>False</vt:lpwstr>
  </property>
  <property fmtid="{D5CDD505-2E9C-101B-9397-08002B2CF9AE}" pid="53" name="suppress-title-introduction">
    <vt:lpwstr>False</vt:lpwstr>
  </property>
  <property fmtid="{D5CDD505-2E9C-101B-9397-08002B2CF9AE}" pid="54" name="suppress-title-page">
    <vt:lpwstr>False</vt:lpwstr>
  </property>
  <property fmtid="{D5CDD505-2E9C-101B-9397-08002B2CF9AE}" pid="55" name="suppress-title-page-number">
    <vt:lpwstr>False</vt:lpwstr>
  </property>
  <property fmtid="{D5CDD505-2E9C-101B-9397-08002B2CF9AE}" pid="56" name="tbl-cap-location">
    <vt:lpwstr>top</vt:lpwstr>
  </property>
  <property fmtid="{D5CDD505-2E9C-101B-9397-08002B2CF9AE}" pid="57" name="toc-title">
    <vt:lpwstr>Table of contents</vt:lpwstr>
  </property>
  <property fmtid="{D5CDD505-2E9C-101B-9397-08002B2CF9AE}" pid="58" name="wordn">
    <vt:lpwstr>1949</vt:lpwstr>
  </property>
  <property fmtid="{D5CDD505-2E9C-101B-9397-08002B2CF9AE}" pid="59" name="zerocitations">
    <vt:lpwstr>False</vt:lpwstr>
  </property>
</Properties>
</file>